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36986"/>
    <w:p w14:paraId="1CF2502F">
      <w:pPr>
        <w:keepNext w:val="0"/>
        <w:keepLines w:val="0"/>
        <w:pageBreakBefore w:val="0"/>
        <w:widowControl/>
        <w:kinsoku/>
        <w:wordWrap/>
        <w:overflowPunct w:val="0"/>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napToGrid w:val="0"/>
          <w:color w:val="000000"/>
          <w:kern w:val="0"/>
          <w:sz w:val="48"/>
          <w:szCs w:val="48"/>
          <w:lang w:val="en-US" w:eastAsia="zh-CN"/>
        </w:rPr>
      </w:pPr>
      <w:r>
        <w:rPr>
          <w:rFonts w:hint="eastAsia" w:ascii="方正小标宋简体" w:hAnsi="方正小标宋简体" w:eastAsia="方正小标宋简体" w:cs="方正小标宋简体"/>
          <w:snapToGrid w:val="0"/>
          <w:color w:val="000000"/>
          <w:kern w:val="0"/>
          <w:sz w:val="48"/>
          <w:szCs w:val="48"/>
          <w:lang w:val="en-US" w:eastAsia="zh-CN"/>
        </w:rPr>
        <w:t>吉林省水库雨水情测报和大坝安全监测设施运行管理办法（征求意见稿）</w:t>
      </w:r>
    </w:p>
    <w:p w14:paraId="6FD3E651">
      <w:pPr>
        <w:bidi w:val="0"/>
        <w:jc w:val="center"/>
        <w:rPr>
          <w:b/>
          <w:bCs/>
          <w:sz w:val="44"/>
          <w:szCs w:val="44"/>
        </w:rPr>
      </w:pPr>
    </w:p>
    <w:p w14:paraId="05234F45">
      <w:pPr>
        <w:bidi w:val="0"/>
        <w:jc w:val="center"/>
        <w:outlineLvl w:val="0"/>
        <w:rPr>
          <w:b/>
          <w:bCs/>
          <w:sz w:val="36"/>
          <w:szCs w:val="36"/>
        </w:rPr>
      </w:pPr>
      <w:r>
        <w:rPr>
          <w:rFonts w:hint="eastAsia"/>
          <w:b/>
          <w:bCs/>
          <w:sz w:val="36"/>
          <w:szCs w:val="36"/>
        </w:rPr>
        <w:t>第一章  总</w:t>
      </w:r>
      <w:r>
        <w:rPr>
          <w:rFonts w:hint="eastAsia"/>
          <w:b/>
          <w:bCs/>
          <w:sz w:val="36"/>
          <w:szCs w:val="36"/>
          <w:lang w:val="en-US" w:eastAsia="zh-CN"/>
        </w:rPr>
        <w:t xml:space="preserve">  </w:t>
      </w:r>
      <w:r>
        <w:rPr>
          <w:rFonts w:hint="eastAsia"/>
          <w:b/>
          <w:bCs/>
          <w:sz w:val="36"/>
          <w:szCs w:val="36"/>
        </w:rPr>
        <w:t>则</w:t>
      </w:r>
    </w:p>
    <w:p w14:paraId="0290D6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highlight w:val="none"/>
        </w:rPr>
      </w:pPr>
    </w:p>
    <w:p w14:paraId="6FAE702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eastAsia="宋体"/>
          <w:sz w:val="32"/>
          <w:szCs w:val="32"/>
          <w:highlight w:val="none"/>
          <w:lang w:eastAsia="zh-CN"/>
        </w:rPr>
      </w:pPr>
      <w:r>
        <w:rPr>
          <w:rFonts w:hint="eastAsia" w:ascii="黑体" w:hAnsi="黑体" w:eastAsia="黑体" w:cs="黑体"/>
          <w:sz w:val="36"/>
          <w:szCs w:val="36"/>
          <w:lang w:val="en-US" w:eastAsia="zh-CN"/>
        </w:rPr>
        <w:t>第一条（目的依据）</w:t>
      </w:r>
      <w:r>
        <w:rPr>
          <w:rFonts w:hint="eastAsia"/>
          <w:sz w:val="32"/>
          <w:szCs w:val="32"/>
          <w:highlight w:val="none"/>
          <w:lang w:val="en-US" w:eastAsia="zh-CN"/>
        </w:rPr>
        <w:t> 为加强水库大坝安全管理，规范</w:t>
      </w:r>
      <w:r>
        <w:rPr>
          <w:rFonts w:hint="eastAsia" w:eastAsia="宋体"/>
          <w:sz w:val="32"/>
          <w:szCs w:val="32"/>
          <w:highlight w:val="none"/>
          <w:lang w:val="en-US" w:eastAsia="zh-CN"/>
        </w:rPr>
        <w:t>水库雨水情测报和大坝安全监测设施</w:t>
      </w:r>
      <w:r>
        <w:rPr>
          <w:rFonts w:hint="eastAsia"/>
          <w:sz w:val="32"/>
          <w:szCs w:val="32"/>
          <w:highlight w:val="none"/>
          <w:lang w:val="en-US" w:eastAsia="zh-CN"/>
        </w:rPr>
        <w:t>运行管护，提升信息化管理水平，依据《水库大坝安</w:t>
      </w:r>
      <w:bookmarkStart w:id="0" w:name="_GoBack"/>
      <w:bookmarkEnd w:id="0"/>
      <w:r>
        <w:rPr>
          <w:rFonts w:hint="eastAsia"/>
          <w:sz w:val="32"/>
          <w:szCs w:val="32"/>
          <w:highlight w:val="none"/>
          <w:lang w:val="en-US" w:eastAsia="zh-CN"/>
        </w:rPr>
        <w:t>全管理条例》和</w:t>
      </w:r>
      <w:r>
        <w:rPr>
          <w:rFonts w:hint="eastAsia" w:eastAsia="宋体"/>
          <w:sz w:val="32"/>
          <w:szCs w:val="32"/>
          <w:highlight w:val="none"/>
        </w:rPr>
        <w:t>《水库大坝安全监</w:t>
      </w:r>
      <w:r>
        <w:rPr>
          <w:rFonts w:hint="eastAsia"/>
          <w:sz w:val="32"/>
          <w:szCs w:val="32"/>
          <w:highlight w:val="none"/>
        </w:rPr>
        <w:t>测管理办法》</w:t>
      </w:r>
      <w:r>
        <w:rPr>
          <w:rFonts w:hint="eastAsia" w:eastAsia="宋体"/>
          <w:sz w:val="32"/>
          <w:szCs w:val="32"/>
          <w:highlight w:val="none"/>
          <w:lang w:val="en-US" w:eastAsia="zh-CN"/>
        </w:rPr>
        <w:t>《小型建设与运行管理办法</w:t>
      </w:r>
      <w:r>
        <w:rPr>
          <w:rFonts w:hint="eastAsia"/>
          <w:sz w:val="32"/>
          <w:szCs w:val="32"/>
          <w:highlight w:val="none"/>
          <w:lang w:val="en-US" w:eastAsia="zh-CN"/>
        </w:rPr>
        <w:t>》等有关规定，制定本办法。</w:t>
      </w:r>
    </w:p>
    <w:p w14:paraId="2A35BC7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720" w:firstLineChars="200"/>
        <w:jc w:val="both"/>
        <w:textAlignment w:val="auto"/>
        <w:rPr>
          <w:rFonts w:hint="eastAsia"/>
          <w:sz w:val="32"/>
          <w:szCs w:val="32"/>
          <w:highlight w:val="none"/>
          <w:lang w:val="en-US" w:eastAsia="zh-CN"/>
        </w:rPr>
      </w:pPr>
      <w:r>
        <w:rPr>
          <w:rFonts w:hint="eastAsia" w:ascii="黑体" w:hAnsi="黑体" w:eastAsia="黑体" w:cs="黑体"/>
          <w:sz w:val="36"/>
          <w:szCs w:val="36"/>
          <w:lang w:val="en-US" w:eastAsia="zh-CN"/>
        </w:rPr>
        <w:t xml:space="preserve">第二条（适用范围） </w:t>
      </w:r>
      <w:r>
        <w:rPr>
          <w:rFonts w:hint="eastAsia" w:eastAsia="宋体"/>
          <w:sz w:val="32"/>
          <w:szCs w:val="32"/>
          <w:highlight w:val="none"/>
          <w:lang w:val="en-US" w:eastAsia="zh-CN"/>
        </w:rPr>
        <w:t>本办法所称大坝监测设施包括雨水情测报和大坝安全监测设施设备，以及监测信息汇集、应用和共享的监测平台。</w:t>
      </w:r>
      <w:r>
        <w:rPr>
          <w:rFonts w:hint="eastAsia"/>
          <w:sz w:val="32"/>
          <w:szCs w:val="32"/>
          <w:highlight w:val="none"/>
          <w:lang w:val="en-US" w:eastAsia="zh-CN"/>
        </w:rPr>
        <w:t> </w:t>
      </w:r>
    </w:p>
    <w:p w14:paraId="7D71381B">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left"/>
        <w:textAlignment w:val="auto"/>
      </w:pPr>
      <w:r>
        <w:rPr>
          <w:rFonts w:hint="eastAsia" w:ascii="黑体" w:hAnsi="黑体" w:eastAsia="黑体" w:cs="黑体"/>
          <w:sz w:val="36"/>
          <w:szCs w:val="36"/>
          <w:lang w:val="en-US" w:eastAsia="zh-CN"/>
        </w:rPr>
        <w:t xml:space="preserve">第三条（基本原则） </w:t>
      </w:r>
      <w:r>
        <w:rPr>
          <w:rFonts w:hint="eastAsia" w:eastAsia="宋体"/>
          <w:sz w:val="32"/>
          <w:szCs w:val="32"/>
          <w:highlight w:val="none"/>
          <w:lang w:val="en-US" w:eastAsia="zh-CN"/>
        </w:rPr>
        <w:t>健全“省级统筹、市县监管、专业运维、逐库负责” 运行管理体系，实现监测设备稳定在线、监测数据真实完整、预警处置全程闭环，保障水库安全运行。</w:t>
      </w:r>
    </w:p>
    <w:p w14:paraId="5C7277B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720" w:firstLineChars="200"/>
        <w:jc w:val="both"/>
        <w:textAlignment w:val="auto"/>
        <w:rPr>
          <w:rFonts w:hint="eastAsia" w:eastAsia="宋体"/>
          <w:sz w:val="32"/>
          <w:szCs w:val="32"/>
          <w:highlight w:val="none"/>
          <w:lang w:val="en-US" w:eastAsia="zh-CN"/>
        </w:rPr>
      </w:pPr>
      <w:r>
        <w:rPr>
          <w:rFonts w:hint="eastAsia" w:ascii="黑体" w:hAnsi="黑体" w:eastAsia="黑体" w:cs="黑体"/>
          <w:sz w:val="36"/>
          <w:szCs w:val="36"/>
          <w:lang w:val="en-US" w:eastAsia="zh-CN"/>
        </w:rPr>
        <w:t xml:space="preserve">第四条（职责分工） </w:t>
      </w:r>
      <w:r>
        <w:rPr>
          <w:rFonts w:hint="eastAsia" w:eastAsia="宋体"/>
          <w:sz w:val="32"/>
          <w:szCs w:val="32"/>
          <w:highlight w:val="none"/>
          <w:lang w:val="en-US" w:eastAsia="zh-CN"/>
        </w:rPr>
        <w:t>省级水利部门负责指导全省水库大坝监测设施运行管理和维护工作。各级大坝主管部门负责所管辖水库大坝监测设施运行的监督管理，协调落实监测设施维修养护经费，组织指导水库管理单位建立健全管理维护制度，并监督执行。水库管理单位（包括由大坝主管部门委托的具有相应能力的单位）负责水库大坝监测设施的日常管理、运行维护及监测信息分析应用。</w:t>
      </w:r>
    </w:p>
    <w:p w14:paraId="5AC8BB28">
      <w:pPr>
        <w:bidi w:val="0"/>
        <w:jc w:val="both"/>
        <w:outlineLvl w:val="0"/>
        <w:rPr>
          <w:rFonts w:hint="eastAsia"/>
          <w:b/>
          <w:bCs/>
          <w:sz w:val="36"/>
          <w:szCs w:val="36"/>
        </w:rPr>
      </w:pPr>
      <w:r>
        <w:rPr>
          <w:rFonts w:hint="eastAsia" w:ascii="黑体" w:hAnsi="黑体" w:eastAsia="黑体" w:cs="黑体"/>
          <w:kern w:val="2"/>
          <w:sz w:val="36"/>
          <w:szCs w:val="36"/>
          <w:lang w:val="en-US" w:eastAsia="zh-CN" w:bidi="ar-SA"/>
        </w:rPr>
        <w:t xml:space="preserve">   第五条（责任落实）</w:t>
      </w:r>
      <w:r>
        <w:rPr>
          <w:rFonts w:hint="eastAsia" w:ascii="宋体" w:hAnsi="宋体" w:eastAsia="宋体" w:cs="宋体"/>
          <w:i w:val="0"/>
          <w:caps w:val="0"/>
          <w:color w:val="333333"/>
          <w:spacing w:val="0"/>
          <w:sz w:val="24"/>
          <w:szCs w:val="24"/>
          <w:shd w:val="clear" w:fill="FFFFFF"/>
        </w:rPr>
        <w:t>　</w:t>
      </w:r>
      <w:r>
        <w:rPr>
          <w:rFonts w:hint="eastAsia" w:eastAsia="宋体"/>
          <w:sz w:val="32"/>
          <w:szCs w:val="32"/>
          <w:highlight w:val="none"/>
          <w:lang w:val="en-US" w:eastAsia="zh-CN"/>
        </w:rPr>
        <w:t>逐库落实大坝监测设施运行管理责任，明确管理单位责任人、技术责任人和巡查责任人，纳入水库防汛 “三个责任人” 管理体系，责任人员信息向社会公示，人员变动及时报备更新。</w:t>
      </w:r>
    </w:p>
    <w:p w14:paraId="6F7BF454">
      <w:pPr>
        <w:bidi w:val="0"/>
        <w:jc w:val="center"/>
        <w:outlineLvl w:val="0"/>
        <w:rPr>
          <w:rFonts w:hint="eastAsia" w:eastAsia="宋体"/>
          <w:b/>
          <w:bCs/>
          <w:sz w:val="44"/>
          <w:szCs w:val="44"/>
          <w:lang w:eastAsia="zh-CN"/>
        </w:rPr>
      </w:pPr>
      <w:r>
        <w:rPr>
          <w:rFonts w:hint="eastAsia"/>
          <w:b/>
          <w:bCs/>
          <w:sz w:val="36"/>
          <w:szCs w:val="36"/>
        </w:rPr>
        <w:t>第</w:t>
      </w:r>
      <w:r>
        <w:rPr>
          <w:rFonts w:hint="eastAsia"/>
          <w:b/>
          <w:bCs/>
          <w:sz w:val="36"/>
          <w:szCs w:val="36"/>
          <w:lang w:eastAsia="zh-CN"/>
        </w:rPr>
        <w:t>二</w:t>
      </w:r>
      <w:r>
        <w:rPr>
          <w:rFonts w:hint="eastAsia"/>
          <w:b/>
          <w:bCs/>
          <w:sz w:val="36"/>
          <w:szCs w:val="36"/>
        </w:rPr>
        <w:t>章  </w:t>
      </w:r>
      <w:r>
        <w:rPr>
          <w:rFonts w:hint="eastAsia"/>
          <w:b/>
          <w:bCs/>
          <w:sz w:val="36"/>
          <w:szCs w:val="36"/>
          <w:lang w:eastAsia="zh-CN"/>
        </w:rPr>
        <w:t>管理维护</w:t>
      </w:r>
    </w:p>
    <w:p w14:paraId="550EA20F">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0"/>
        <w:rPr>
          <w:rFonts w:hint="eastAsia" w:eastAsia="宋体"/>
          <w:sz w:val="32"/>
          <w:szCs w:val="32"/>
          <w:highlight w:val="none"/>
          <w:lang w:val="en-US" w:eastAsia="zh-CN"/>
        </w:rPr>
      </w:pPr>
      <w:r>
        <w:rPr>
          <w:rFonts w:hint="eastAsia" w:ascii="黑体" w:hAnsi="黑体" w:eastAsia="黑体" w:cs="黑体"/>
          <w:sz w:val="36"/>
          <w:szCs w:val="36"/>
          <w:lang w:val="en-US" w:eastAsia="zh-CN"/>
        </w:rPr>
        <w:t>第六条（维护责任）</w:t>
      </w:r>
      <w:r>
        <w:rPr>
          <w:rFonts w:hint="eastAsia" w:eastAsia="宋体"/>
          <w:sz w:val="32"/>
          <w:szCs w:val="32"/>
          <w:highlight w:val="none"/>
          <w:lang w:val="en-US" w:eastAsia="zh-CN"/>
        </w:rPr>
        <w:t xml:space="preserve"> 水库管理单位加强大坝监测设施的运行管理和维护，省级统一建设并移交地方管理的大坝监测设施设备属于水库</w:t>
      </w:r>
      <w:r>
        <w:rPr>
          <w:rFonts w:hint="default" w:eastAsia="宋体"/>
          <w:sz w:val="32"/>
          <w:szCs w:val="32"/>
          <w:highlight w:val="none"/>
          <w:lang w:val="en-US" w:eastAsia="zh-CN"/>
        </w:rPr>
        <w:t>固定资产</w:t>
      </w:r>
      <w:r>
        <w:rPr>
          <w:rFonts w:hint="eastAsia" w:eastAsia="宋体"/>
          <w:sz w:val="32"/>
          <w:szCs w:val="32"/>
          <w:highlight w:val="none"/>
          <w:lang w:val="en-US" w:eastAsia="zh-CN"/>
        </w:rPr>
        <w:t>，由水库管理单位负责运行管理和日常维护。</w:t>
      </w:r>
    </w:p>
    <w:p w14:paraId="45037E2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0"/>
        <w:rPr>
          <w:rFonts w:hint="eastAsia" w:eastAsia="宋体"/>
          <w:sz w:val="32"/>
          <w:szCs w:val="32"/>
          <w:highlight w:val="none"/>
          <w:lang w:val="en-US" w:eastAsia="zh-CN"/>
        </w:rPr>
      </w:pPr>
      <w:r>
        <w:rPr>
          <w:rFonts w:hint="eastAsia" w:eastAsia="宋体"/>
          <w:sz w:val="32"/>
          <w:szCs w:val="32"/>
          <w:highlight w:val="none"/>
          <w:lang w:val="en-US" w:eastAsia="zh-CN"/>
        </w:rPr>
        <w:t>水库管理单位未明确的，由大坝主管部门委托具有相应能力单位负责大坝监测设施的运行管理和维护。</w:t>
      </w:r>
    </w:p>
    <w:p w14:paraId="0293B063">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eastAsia="宋体"/>
          <w:sz w:val="32"/>
          <w:szCs w:val="32"/>
          <w:highlight w:val="none"/>
          <w:lang w:val="en-US" w:eastAsia="zh-CN"/>
        </w:rPr>
      </w:pPr>
      <w:r>
        <w:rPr>
          <w:rFonts w:hint="eastAsia" w:ascii="黑体" w:hAnsi="黑体" w:eastAsia="黑体" w:cs="黑体"/>
          <w:sz w:val="36"/>
          <w:szCs w:val="36"/>
          <w:lang w:val="en-US" w:eastAsia="zh-CN"/>
        </w:rPr>
        <w:t xml:space="preserve">第七条（资金来源） </w:t>
      </w:r>
      <w:r>
        <w:rPr>
          <w:rFonts w:hint="eastAsia" w:eastAsia="宋体"/>
          <w:sz w:val="32"/>
          <w:szCs w:val="32"/>
          <w:highlight w:val="none"/>
          <w:lang w:val="en-US" w:eastAsia="zh-CN"/>
        </w:rPr>
        <w:t>大坝主管部门应当将大坝监测设施运行管理和维护纳入水库工程维修养护工作范围。</w:t>
      </w:r>
    </w:p>
    <w:p w14:paraId="3BC9BC5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eastAsia="宋体"/>
          <w:sz w:val="32"/>
          <w:szCs w:val="32"/>
          <w:highlight w:val="none"/>
          <w:lang w:val="en-US" w:eastAsia="zh-CN"/>
        </w:rPr>
      </w:pPr>
      <w:r>
        <w:rPr>
          <w:rFonts w:hint="eastAsia" w:eastAsia="宋体"/>
          <w:sz w:val="32"/>
          <w:szCs w:val="32"/>
          <w:highlight w:val="none"/>
          <w:lang w:val="en-US" w:eastAsia="zh-CN"/>
        </w:rPr>
        <w:t>承担公益性任务的水库所需大坝监测设施运行管理和维护经费，应按照隶属关系列入本级财政预算；承担经营性任务的水库所需大坝监测设施运行管理和维护经费，由业主单位在其经营收入中计提。</w:t>
      </w:r>
    </w:p>
    <w:p w14:paraId="1C38BB5D">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eastAsia="宋体"/>
          <w:sz w:val="32"/>
          <w:szCs w:val="32"/>
          <w:highlight w:val="none"/>
          <w:lang w:val="en-US" w:eastAsia="zh-CN"/>
        </w:rPr>
      </w:pPr>
      <w:r>
        <w:rPr>
          <w:rFonts w:hint="eastAsia" w:ascii="黑体" w:hAnsi="黑体" w:eastAsia="黑体" w:cs="黑体"/>
          <w:sz w:val="36"/>
          <w:szCs w:val="36"/>
          <w:lang w:val="en-US" w:eastAsia="zh-CN"/>
        </w:rPr>
        <w:t>第八条（社会化服务）</w:t>
      </w:r>
      <w:r>
        <w:rPr>
          <w:rFonts w:hint="eastAsia" w:eastAsia="宋体"/>
          <w:sz w:val="32"/>
          <w:szCs w:val="32"/>
          <w:highlight w:val="none"/>
          <w:lang w:val="en-US" w:eastAsia="zh-CN"/>
        </w:rPr>
        <w:t xml:space="preserve"> 大坝主管部门和水库管理单位应当积极推进管维分离，鼓励创新维护模式，向专业化社会力量购买大坝监测设施维护服务。</w:t>
      </w:r>
    </w:p>
    <w:p w14:paraId="7CE06EC3">
      <w:pPr>
        <w:keepNext w:val="0"/>
        <w:keepLines w:val="0"/>
        <w:widowControl/>
        <w:suppressLineNumbers w:val="0"/>
        <w:jc w:val="left"/>
        <w:rPr>
          <w:rFonts w:ascii="宋体" w:hAnsi="宋体" w:eastAsia="宋体" w:cs="宋体"/>
          <w:kern w:val="0"/>
          <w:sz w:val="24"/>
          <w:szCs w:val="24"/>
          <w:lang w:val="en-US" w:eastAsia="zh-CN" w:bidi="ar"/>
        </w:rPr>
      </w:pPr>
    </w:p>
    <w:p w14:paraId="3CDF0BA1">
      <w:pPr>
        <w:keepNext w:val="0"/>
        <w:keepLines w:val="0"/>
        <w:pageBreakBefore w:val="0"/>
        <w:widowControl/>
        <w:suppressLineNumbers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第九条（制度建设）</w:t>
      </w:r>
      <w:r>
        <w:rPr>
          <w:rFonts w:hint="eastAsia" w:ascii="Times New Roman" w:hAnsi="Times New Roman" w:eastAsia="宋体" w:cstheme="minorBidi"/>
          <w:kern w:val="2"/>
          <w:sz w:val="32"/>
          <w:szCs w:val="32"/>
          <w:highlight w:val="none"/>
          <w:lang w:val="en-US" w:eastAsia="zh-CN" w:bidi="ar-SA"/>
        </w:rPr>
        <w:t xml:space="preserve"> 水库管理单位应当构建完善的大坝监测设施运行管理机制，健全规章制度体系，制定操作规程，明确岗位设置与人员职责，全面规范信息报送、现场检查、日常运维、校验标定、数据应用、技术培训等工作要求。</w:t>
      </w:r>
    </w:p>
    <w:p w14:paraId="7F2E289F">
      <w:pPr>
        <w:keepNext w:val="0"/>
        <w:keepLines w:val="0"/>
        <w:pageBreakBefore w:val="0"/>
        <w:widowControl/>
        <w:suppressLineNumbers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第十条（日常巡检）</w:t>
      </w:r>
      <w:r>
        <w:rPr>
          <w:rFonts w:hint="eastAsia" w:ascii="Times New Roman" w:hAnsi="Times New Roman" w:eastAsia="宋体" w:cstheme="minorBidi"/>
          <w:kern w:val="2"/>
          <w:sz w:val="32"/>
          <w:szCs w:val="32"/>
          <w:highlight w:val="none"/>
          <w:lang w:val="en-US" w:eastAsia="zh-CN" w:bidi="ar-SA"/>
        </w:rPr>
        <w:t xml:space="preserve"> 水库管理单位须严格落实现场巡查制度，每周完成 2 次全覆盖</w:t>
      </w:r>
      <w:r>
        <w:rPr>
          <w:rFonts w:hint="eastAsia" w:eastAsia="宋体" w:cstheme="minorBidi"/>
          <w:kern w:val="2"/>
          <w:sz w:val="32"/>
          <w:szCs w:val="32"/>
          <w:highlight w:val="none"/>
          <w:lang w:val="en-US" w:eastAsia="zh-CN" w:bidi="ar-SA"/>
        </w:rPr>
        <w:t>的大坝</w:t>
      </w:r>
      <w:r>
        <w:rPr>
          <w:rFonts w:hint="eastAsia" w:ascii="Times New Roman" w:hAnsi="Times New Roman" w:eastAsia="宋体" w:cstheme="minorBidi"/>
          <w:kern w:val="2"/>
          <w:sz w:val="32"/>
          <w:szCs w:val="32"/>
          <w:highlight w:val="none"/>
          <w:lang w:val="en-US" w:eastAsia="zh-CN" w:bidi="ar-SA"/>
        </w:rPr>
        <w:t>监测设施现场巡检，严防设施遭受人为破坏与盗窃损毁。</w:t>
      </w:r>
      <w:r>
        <w:rPr>
          <w:rFonts w:hint="eastAsia" w:eastAsia="宋体" w:cstheme="minorBidi"/>
          <w:kern w:val="2"/>
          <w:sz w:val="32"/>
          <w:szCs w:val="32"/>
          <w:highlight w:val="none"/>
          <w:lang w:val="en-US" w:eastAsia="zh-CN" w:bidi="ar-SA"/>
        </w:rPr>
        <w:t>对于发现</w:t>
      </w:r>
      <w:r>
        <w:rPr>
          <w:rFonts w:hint="eastAsia" w:ascii="Times New Roman" w:hAnsi="Times New Roman" w:eastAsia="宋体" w:cstheme="minorBidi"/>
          <w:kern w:val="2"/>
          <w:sz w:val="32"/>
          <w:szCs w:val="32"/>
          <w:highlight w:val="none"/>
          <w:lang w:val="en-US" w:eastAsia="zh-CN" w:bidi="ar-SA"/>
        </w:rPr>
        <w:t>设备损坏、运行异常等问题</w:t>
      </w:r>
      <w:r>
        <w:rPr>
          <w:rFonts w:hint="eastAsia" w:eastAsia="宋体" w:cstheme="minorBidi"/>
          <w:kern w:val="2"/>
          <w:sz w:val="32"/>
          <w:szCs w:val="32"/>
          <w:highlight w:val="none"/>
          <w:lang w:val="en-US" w:eastAsia="zh-CN" w:bidi="ar-SA"/>
        </w:rPr>
        <w:t>的</w:t>
      </w:r>
      <w:r>
        <w:rPr>
          <w:rFonts w:hint="eastAsia" w:ascii="Times New Roman" w:hAnsi="Times New Roman" w:eastAsia="宋体" w:cstheme="minorBidi"/>
          <w:kern w:val="2"/>
          <w:sz w:val="32"/>
          <w:szCs w:val="32"/>
          <w:highlight w:val="none"/>
          <w:lang w:val="en-US" w:eastAsia="zh-CN" w:bidi="ar-SA"/>
        </w:rPr>
        <w:t>，</w:t>
      </w:r>
      <w:r>
        <w:rPr>
          <w:rFonts w:hint="eastAsia" w:eastAsia="宋体" w:cstheme="minorBidi"/>
          <w:kern w:val="2"/>
          <w:sz w:val="32"/>
          <w:szCs w:val="32"/>
          <w:highlight w:val="none"/>
          <w:lang w:val="en-US" w:eastAsia="zh-CN" w:bidi="ar-SA"/>
        </w:rPr>
        <w:t>应当及时组织技术人员维修，确保监测设施正常运行。</w:t>
      </w:r>
    </w:p>
    <w:p w14:paraId="0E993495">
      <w:pPr>
        <w:keepNext w:val="0"/>
        <w:keepLines w:val="0"/>
        <w:pageBreakBefore w:val="0"/>
        <w:widowControl/>
        <w:suppressLineNumbers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第十一条（比测校准）</w:t>
      </w:r>
      <w:r>
        <w:rPr>
          <w:rFonts w:hint="eastAsia" w:ascii="Times New Roman" w:hAnsi="Times New Roman" w:eastAsia="宋体" w:cstheme="minorBidi"/>
          <w:kern w:val="2"/>
          <w:sz w:val="32"/>
          <w:szCs w:val="32"/>
          <w:highlight w:val="none"/>
          <w:lang w:val="en-US" w:eastAsia="zh-CN" w:bidi="ar-SA"/>
        </w:rPr>
        <w:t xml:space="preserve"> 水库管理单位每年组织对水位计、渗压计等核心监测传感器开展人工比测校准，</w:t>
      </w:r>
      <w:r>
        <w:rPr>
          <w:rFonts w:hint="eastAsia" w:eastAsia="宋体" w:cstheme="minorBidi"/>
          <w:kern w:val="2"/>
          <w:sz w:val="32"/>
          <w:szCs w:val="32"/>
          <w:highlight w:val="none"/>
          <w:lang w:val="en-US" w:eastAsia="zh-CN" w:bidi="ar-SA"/>
        </w:rPr>
        <w:t>必须于</w:t>
      </w:r>
      <w:r>
        <w:rPr>
          <w:rFonts w:hint="eastAsia" w:ascii="Times New Roman" w:hAnsi="Times New Roman" w:eastAsia="宋体" w:cstheme="minorBidi"/>
          <w:kern w:val="2"/>
          <w:sz w:val="32"/>
          <w:szCs w:val="32"/>
          <w:highlight w:val="none"/>
          <w:lang w:val="en-US" w:eastAsia="zh-CN" w:bidi="ar-SA"/>
        </w:rPr>
        <w:t>每年汛前完成全部监测仪器的全面标定工作。</w:t>
      </w:r>
    </w:p>
    <w:p w14:paraId="21F5A2B0">
      <w:pPr>
        <w:keepNext w:val="0"/>
        <w:keepLines w:val="0"/>
        <w:pageBreakBefore w:val="0"/>
        <w:widowControl w:val="0"/>
        <w:kinsoku/>
        <w:wordWrap/>
        <w:overflowPunct/>
        <w:topLinePunct w:val="0"/>
        <w:autoSpaceDE/>
        <w:autoSpaceDN/>
        <w:bidi w:val="0"/>
        <w:adjustRightInd/>
        <w:snapToGrid/>
        <w:ind w:firstLine="720" w:firstLineChars="200"/>
        <w:jc w:val="both"/>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 xml:space="preserve">第十二条（安全鉴定） </w:t>
      </w:r>
      <w:r>
        <w:rPr>
          <w:rFonts w:hint="eastAsia" w:ascii="Times New Roman" w:hAnsi="Times New Roman" w:eastAsia="宋体" w:cstheme="minorBidi"/>
          <w:kern w:val="2"/>
          <w:sz w:val="32"/>
          <w:szCs w:val="32"/>
          <w:highlight w:val="none"/>
          <w:lang w:val="en-US" w:eastAsia="zh-CN" w:bidi="ar-SA"/>
        </w:rPr>
        <w:t>水库大坝监测设施应</w:t>
      </w:r>
      <w:r>
        <w:rPr>
          <w:rFonts w:hint="eastAsia" w:eastAsia="宋体" w:cstheme="minorBidi"/>
          <w:kern w:val="2"/>
          <w:sz w:val="32"/>
          <w:szCs w:val="32"/>
          <w:highlight w:val="none"/>
          <w:lang w:val="en-US" w:eastAsia="zh-CN" w:bidi="ar-SA"/>
        </w:rPr>
        <w:t>当</w:t>
      </w:r>
      <w:r>
        <w:rPr>
          <w:rFonts w:hint="eastAsia" w:ascii="Times New Roman" w:hAnsi="Times New Roman" w:eastAsia="宋体" w:cstheme="minorBidi"/>
          <w:kern w:val="2"/>
          <w:sz w:val="32"/>
          <w:szCs w:val="32"/>
          <w:highlight w:val="none"/>
          <w:lang w:val="en-US" w:eastAsia="zh-CN" w:bidi="ar-SA"/>
        </w:rPr>
        <w:t>按照规范要求</w:t>
      </w:r>
      <w:r>
        <w:rPr>
          <w:rFonts w:hint="eastAsia" w:eastAsia="宋体" w:cstheme="minorBidi"/>
          <w:kern w:val="2"/>
          <w:sz w:val="32"/>
          <w:szCs w:val="32"/>
          <w:highlight w:val="none"/>
          <w:lang w:val="en-US" w:eastAsia="zh-CN" w:bidi="ar-SA"/>
        </w:rPr>
        <w:t>定期</w:t>
      </w:r>
      <w:r>
        <w:rPr>
          <w:rFonts w:hint="eastAsia" w:ascii="Times New Roman" w:hAnsi="Times New Roman" w:eastAsia="宋体" w:cstheme="minorBidi"/>
          <w:kern w:val="2"/>
          <w:sz w:val="32"/>
          <w:szCs w:val="32"/>
          <w:highlight w:val="none"/>
          <w:lang w:val="en-US" w:eastAsia="zh-CN" w:bidi="ar-SA"/>
        </w:rPr>
        <w:t>开展鉴定。遭遇有感地震、暴雨洪水、工程险情或事故等影响监测设施运行情形时，应</w:t>
      </w:r>
      <w:r>
        <w:rPr>
          <w:rFonts w:hint="eastAsia" w:eastAsia="宋体" w:cstheme="minorBidi"/>
          <w:kern w:val="2"/>
          <w:sz w:val="32"/>
          <w:szCs w:val="32"/>
          <w:highlight w:val="none"/>
          <w:lang w:val="en-US" w:eastAsia="zh-CN" w:bidi="ar-SA"/>
        </w:rPr>
        <w:t>当</w:t>
      </w:r>
      <w:r>
        <w:rPr>
          <w:rFonts w:hint="eastAsia" w:ascii="Times New Roman" w:hAnsi="Times New Roman" w:eastAsia="宋体" w:cstheme="minorBidi"/>
          <w:kern w:val="2"/>
          <w:sz w:val="32"/>
          <w:szCs w:val="32"/>
          <w:highlight w:val="none"/>
          <w:lang w:val="en-US" w:eastAsia="zh-CN" w:bidi="ar-SA"/>
        </w:rPr>
        <w:t>及时组织鉴定。</w:t>
      </w:r>
    </w:p>
    <w:p w14:paraId="6D495CC9">
      <w:pPr>
        <w:keepNext w:val="0"/>
        <w:keepLines w:val="0"/>
        <w:pageBreakBefore w:val="0"/>
        <w:widowControl w:val="0"/>
        <w:kinsoku/>
        <w:wordWrap/>
        <w:overflowPunct/>
        <w:topLinePunct w:val="0"/>
        <w:autoSpaceDE/>
        <w:autoSpaceDN/>
        <w:bidi w:val="0"/>
        <w:adjustRightInd/>
        <w:snapToGrid/>
        <w:ind w:firstLine="720" w:firstLineChars="200"/>
        <w:jc w:val="both"/>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 xml:space="preserve">第十三条（报废审批） </w:t>
      </w:r>
      <w:r>
        <w:rPr>
          <w:rFonts w:hint="eastAsia" w:ascii="Times New Roman" w:hAnsi="Times New Roman" w:eastAsia="宋体" w:cstheme="minorBidi"/>
          <w:kern w:val="2"/>
          <w:sz w:val="32"/>
          <w:szCs w:val="32"/>
          <w:highlight w:val="none"/>
          <w:lang w:val="en-US" w:eastAsia="zh-CN" w:bidi="ar-SA"/>
        </w:rPr>
        <w:t>水库管理单位需要封存、报废水库大坝监测设施的，应报大坝主管部门批准。</w:t>
      </w:r>
    </w:p>
    <w:p w14:paraId="5C515CE8">
      <w:pPr>
        <w:numPr>
          <w:ilvl w:val="0"/>
          <w:numId w:val="2"/>
        </w:numPr>
        <w:bidi w:val="0"/>
        <w:jc w:val="center"/>
        <w:outlineLvl w:val="0"/>
        <w:rPr>
          <w:rFonts w:hint="eastAsia" w:eastAsia="宋体"/>
          <w:b/>
          <w:bCs/>
          <w:sz w:val="36"/>
          <w:szCs w:val="36"/>
          <w:lang w:val="en-US" w:eastAsia="zh-CN"/>
        </w:rPr>
      </w:pPr>
      <w:r>
        <w:rPr>
          <w:rFonts w:hint="eastAsia" w:eastAsia="宋体"/>
          <w:b/>
          <w:bCs/>
          <w:sz w:val="36"/>
          <w:szCs w:val="36"/>
          <w:lang w:val="en-US" w:eastAsia="zh-CN"/>
        </w:rPr>
        <w:t>日常监测</w:t>
      </w:r>
    </w:p>
    <w:p w14:paraId="263F10E7">
      <w:pPr>
        <w:keepNext w:val="0"/>
        <w:keepLines w:val="0"/>
        <w:pageBreakBefore w:val="0"/>
        <w:widowControl w:val="0"/>
        <w:kinsoku/>
        <w:wordWrap/>
        <w:overflowPunct/>
        <w:topLinePunct w:val="0"/>
        <w:autoSpaceDE/>
        <w:autoSpaceDN/>
        <w:bidi w:val="0"/>
        <w:adjustRightInd/>
        <w:snapToGrid/>
        <w:ind w:firstLine="720" w:firstLineChars="200"/>
        <w:jc w:val="both"/>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第十四条（监测要求）</w:t>
      </w:r>
      <w:r>
        <w:rPr>
          <w:rFonts w:hint="eastAsia" w:ascii="Times New Roman" w:hAnsi="Times New Roman" w:eastAsia="宋体" w:cstheme="minorBidi"/>
          <w:kern w:val="2"/>
          <w:sz w:val="32"/>
          <w:szCs w:val="32"/>
          <w:highlight w:val="none"/>
          <w:lang w:val="en-US" w:eastAsia="zh-CN" w:bidi="ar-SA"/>
        </w:rPr>
        <w:t xml:space="preserve"> 降水量、库水位、渗流量、渗流压力、表面变形等监测频次参照相关规范并依据工程管理实际需要执行，满足雨水情监测预警、预测预报和大坝安全管理要求。</w:t>
      </w:r>
    </w:p>
    <w:p w14:paraId="7E1E2AF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Times New Roman" w:hAnsi="Times New Roman" w:eastAsia="宋体" w:cstheme="minorBidi"/>
          <w:kern w:val="2"/>
          <w:sz w:val="32"/>
          <w:szCs w:val="32"/>
          <w:highlight w:val="none"/>
          <w:lang w:val="en-US" w:eastAsia="zh-CN" w:bidi="ar-SA"/>
        </w:rPr>
      </w:pPr>
      <w:r>
        <w:rPr>
          <w:rFonts w:hint="eastAsia" w:ascii="Times New Roman" w:hAnsi="Times New Roman" w:eastAsia="宋体" w:cstheme="minorBidi"/>
          <w:kern w:val="2"/>
          <w:sz w:val="32"/>
          <w:szCs w:val="32"/>
          <w:highlight w:val="none"/>
          <w:lang w:val="en-US" w:eastAsia="zh-CN" w:bidi="ar-SA"/>
        </w:rPr>
        <w:t>监测仪器设备出现故障或失效时，应及时修复、更换或者采用其他替代监测方法，确保监测数据完整、连续。</w:t>
      </w:r>
    </w:p>
    <w:p w14:paraId="503359A8">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第十五条（极端监测）</w:t>
      </w:r>
      <w:r>
        <w:rPr>
          <w:rFonts w:hint="eastAsia" w:ascii="Times New Roman" w:hAnsi="Times New Roman" w:eastAsia="宋体" w:cstheme="minorBidi"/>
          <w:kern w:val="2"/>
          <w:sz w:val="32"/>
          <w:szCs w:val="32"/>
          <w:highlight w:val="none"/>
          <w:lang w:val="en-US" w:eastAsia="zh-CN" w:bidi="ar-SA"/>
        </w:rPr>
        <w:t xml:space="preserve"> </w:t>
      </w:r>
      <w:r>
        <w:rPr>
          <w:rFonts w:hint="eastAsia" w:eastAsia="宋体" w:cstheme="minorBidi"/>
          <w:kern w:val="2"/>
          <w:sz w:val="32"/>
          <w:szCs w:val="32"/>
          <w:highlight w:val="none"/>
          <w:lang w:val="en-US" w:eastAsia="zh-CN" w:bidi="ar-SA"/>
        </w:rPr>
        <w:t xml:space="preserve"> </w:t>
      </w:r>
      <w:r>
        <w:rPr>
          <w:rFonts w:hint="eastAsia" w:ascii="Times New Roman" w:hAnsi="Times New Roman" w:eastAsia="宋体" w:cstheme="minorBidi"/>
          <w:kern w:val="2"/>
          <w:sz w:val="32"/>
          <w:szCs w:val="32"/>
          <w:highlight w:val="none"/>
          <w:lang w:val="en-US" w:eastAsia="zh-CN" w:bidi="ar-SA"/>
        </w:rPr>
        <w:t>发生有感地震、高水位运行、大流量泄洪、库水位骤升骤降或者其他可能影响大坝安全的异常情况时，应加强现场检查，加密监测频次，必要时增加临时监测设施。</w:t>
      </w:r>
    </w:p>
    <w:p w14:paraId="452E6142">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eastAsia="宋体"/>
          <w:b/>
          <w:bCs/>
          <w:sz w:val="36"/>
          <w:szCs w:val="36"/>
          <w:lang w:val="en-US" w:eastAsia="zh-CN"/>
        </w:rPr>
      </w:pPr>
      <w:r>
        <w:rPr>
          <w:rFonts w:hint="default" w:ascii="黑体" w:hAnsi="黑体" w:eastAsia="黑体" w:cs="黑体"/>
          <w:kern w:val="2"/>
          <w:sz w:val="36"/>
          <w:szCs w:val="36"/>
          <w:lang w:val="en-US" w:eastAsia="zh-CN" w:bidi="ar-SA"/>
        </w:rPr>
        <w:t>第十六条</w:t>
      </w:r>
      <w:r>
        <w:rPr>
          <w:rFonts w:hint="eastAsia" w:ascii="黑体" w:hAnsi="黑体" w:eastAsia="黑体" w:cs="黑体"/>
          <w:kern w:val="2"/>
          <w:sz w:val="36"/>
          <w:szCs w:val="36"/>
          <w:lang w:val="en-US" w:eastAsia="zh-CN" w:bidi="ar-SA"/>
        </w:rPr>
        <w:t>（信息报送）</w:t>
      </w:r>
      <w:r>
        <w:rPr>
          <w:rFonts w:hint="default" w:ascii="黑体" w:hAnsi="黑体" w:eastAsia="黑体" w:cs="黑体"/>
          <w:kern w:val="2"/>
          <w:sz w:val="36"/>
          <w:szCs w:val="36"/>
          <w:lang w:val="en-US" w:eastAsia="zh-CN" w:bidi="ar-SA"/>
        </w:rPr>
        <w:t xml:space="preserve"> </w:t>
      </w:r>
      <w:r>
        <w:rPr>
          <w:rFonts w:hint="eastAsia" w:ascii="Times New Roman" w:hAnsi="Times New Roman" w:eastAsia="宋体" w:cstheme="minorBidi"/>
          <w:kern w:val="2"/>
          <w:sz w:val="32"/>
          <w:szCs w:val="32"/>
          <w:highlight w:val="none"/>
          <w:lang w:val="en-US" w:eastAsia="zh-CN" w:bidi="ar-SA"/>
        </w:rPr>
        <w:t>大坝主管部门负责组织做好监测信息报送工作，按照监测频次要求及时将监测信息上传至</w:t>
      </w:r>
      <w:r>
        <w:rPr>
          <w:rFonts w:hint="eastAsia" w:eastAsia="宋体" w:cstheme="minorBidi"/>
          <w:kern w:val="2"/>
          <w:sz w:val="32"/>
          <w:szCs w:val="32"/>
          <w:highlight w:val="none"/>
          <w:lang w:val="en-US" w:eastAsia="zh-CN" w:bidi="ar-SA"/>
        </w:rPr>
        <w:t>省级管理</w:t>
      </w:r>
      <w:r>
        <w:rPr>
          <w:rFonts w:hint="eastAsia" w:ascii="Times New Roman" w:hAnsi="Times New Roman" w:eastAsia="宋体" w:cstheme="minorBidi"/>
          <w:kern w:val="2"/>
          <w:sz w:val="32"/>
          <w:szCs w:val="32"/>
          <w:highlight w:val="none"/>
          <w:lang w:val="en-US" w:eastAsia="zh-CN" w:bidi="ar-SA"/>
        </w:rPr>
        <w:t>平台，做好数据存档备份与管理。</w:t>
      </w:r>
    </w:p>
    <w:p w14:paraId="7F6B0D4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default" w:ascii="Times New Roman" w:hAnsi="Times New Roman" w:eastAsia="宋体" w:cstheme="minorBidi"/>
          <w:kern w:val="2"/>
          <w:sz w:val="32"/>
          <w:szCs w:val="32"/>
          <w:highlight w:val="none"/>
          <w:lang w:val="en-US" w:eastAsia="zh-CN" w:bidi="ar-SA"/>
        </w:rPr>
        <w:t>加强</w:t>
      </w:r>
      <w:r>
        <w:rPr>
          <w:rFonts w:hint="eastAsia" w:eastAsia="宋体" w:cstheme="minorBidi"/>
          <w:kern w:val="2"/>
          <w:sz w:val="32"/>
          <w:szCs w:val="32"/>
          <w:highlight w:val="none"/>
          <w:lang w:val="en-US" w:eastAsia="zh-CN" w:bidi="ar-SA"/>
        </w:rPr>
        <w:t>自建水库大坝</w:t>
      </w:r>
      <w:r>
        <w:rPr>
          <w:rFonts w:hint="default" w:ascii="Times New Roman" w:hAnsi="Times New Roman" w:eastAsia="宋体" w:cstheme="minorBidi"/>
          <w:kern w:val="2"/>
          <w:sz w:val="32"/>
          <w:szCs w:val="32"/>
          <w:highlight w:val="none"/>
          <w:lang w:val="en-US" w:eastAsia="zh-CN" w:bidi="ar-SA"/>
        </w:rPr>
        <w:t>监测平台</w:t>
      </w:r>
      <w:r>
        <w:rPr>
          <w:rFonts w:hint="eastAsia" w:eastAsia="宋体" w:cstheme="minorBidi"/>
          <w:kern w:val="2"/>
          <w:sz w:val="32"/>
          <w:szCs w:val="32"/>
          <w:highlight w:val="none"/>
          <w:lang w:val="en-US" w:eastAsia="zh-CN" w:bidi="ar-SA"/>
        </w:rPr>
        <w:t>与省级管理平台的数据信息互联互通，实现数据信息的实时交换</w:t>
      </w:r>
      <w:r>
        <w:rPr>
          <w:rFonts w:hint="default" w:ascii="Times New Roman" w:hAnsi="Times New Roman" w:eastAsia="宋体" w:cstheme="minorBidi"/>
          <w:kern w:val="2"/>
          <w:sz w:val="32"/>
          <w:szCs w:val="32"/>
          <w:highlight w:val="none"/>
          <w:lang w:val="en-US" w:eastAsia="zh-CN" w:bidi="ar-SA"/>
        </w:rPr>
        <w:t>。</w:t>
      </w:r>
    </w:p>
    <w:p w14:paraId="52B0CDDD">
      <w:pPr>
        <w:numPr>
          <w:ilvl w:val="0"/>
          <w:numId w:val="2"/>
        </w:numPr>
        <w:bidi w:val="0"/>
        <w:jc w:val="center"/>
        <w:outlineLvl w:val="0"/>
        <w:rPr>
          <w:rFonts w:hint="eastAsia" w:eastAsia="宋体"/>
          <w:b/>
          <w:bCs/>
          <w:sz w:val="36"/>
          <w:szCs w:val="36"/>
        </w:rPr>
      </w:pPr>
      <w:r>
        <w:rPr>
          <w:rFonts w:hint="eastAsia" w:eastAsia="宋体"/>
          <w:b/>
          <w:bCs/>
          <w:sz w:val="36"/>
          <w:szCs w:val="36"/>
          <w:lang w:val="en-US" w:eastAsia="zh-CN"/>
        </w:rPr>
        <w:t>监测信息分析应用</w:t>
      </w:r>
    </w:p>
    <w:p w14:paraId="552BC906">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第十七条（监控指标）</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水库管理单位应结合大坝运行情况，推进建立监控指标，强化提醒预警。</w:t>
      </w:r>
    </w:p>
    <w:p w14:paraId="6FB4E37F">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第十八条（监测预警）</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水库管理单位应建立监测异常处置机制，发现大坝监测数据异常时，立即查明原因，遇到紧急情况或重大安全问题，应及时发布预警信息，落实安全管理措施，并</w:t>
      </w:r>
      <w:r>
        <w:rPr>
          <w:rFonts w:hint="eastAsia" w:eastAsia="宋体" w:cstheme="minorBidi"/>
          <w:kern w:val="2"/>
          <w:sz w:val="32"/>
          <w:szCs w:val="32"/>
          <w:highlight w:val="none"/>
          <w:lang w:val="en-US" w:eastAsia="zh-CN" w:bidi="ar-SA"/>
        </w:rPr>
        <w:t>及时向大坝主管部门上报</w:t>
      </w:r>
      <w:r>
        <w:rPr>
          <w:rFonts w:hint="eastAsia" w:ascii="Times New Roman" w:hAnsi="Times New Roman" w:eastAsia="宋体" w:cstheme="minorBidi"/>
          <w:kern w:val="2"/>
          <w:sz w:val="32"/>
          <w:szCs w:val="32"/>
          <w:highlight w:val="none"/>
          <w:lang w:val="en-US" w:eastAsia="zh-CN" w:bidi="ar-SA"/>
        </w:rPr>
        <w:t>。</w:t>
      </w:r>
    </w:p>
    <w:p w14:paraId="34D939BB">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第十九条（分析共享）</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水库管理单位应加强大坝监测数据日常分析应用，积极推进监测数据汇集处理和信息共享。</w:t>
      </w:r>
    </w:p>
    <w:p w14:paraId="131C3AA0">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default"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第二十条（整编汇交）</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水库管理单位每年汛前组织完成上年度监测资料整编分析工作，</w:t>
      </w:r>
      <w:r>
        <w:rPr>
          <w:rFonts w:hint="default" w:ascii="Times New Roman" w:hAnsi="Times New Roman" w:eastAsia="宋体" w:cstheme="minorBidi"/>
          <w:kern w:val="2"/>
          <w:sz w:val="32"/>
          <w:szCs w:val="32"/>
          <w:highlight w:val="none"/>
          <w:lang w:val="en-US" w:eastAsia="zh-CN" w:bidi="ar-SA"/>
        </w:rPr>
        <w:t>加强分析成果应用，其中雨水情整编资料按规定</w:t>
      </w:r>
      <w:r>
        <w:rPr>
          <w:rFonts w:hint="eastAsia" w:ascii="Times New Roman" w:hAnsi="Times New Roman" w:eastAsia="宋体" w:cstheme="minorBidi"/>
          <w:kern w:val="2"/>
          <w:sz w:val="32"/>
          <w:szCs w:val="32"/>
          <w:highlight w:val="none"/>
          <w:lang w:val="en-US" w:eastAsia="zh-CN" w:bidi="ar-SA"/>
        </w:rPr>
        <w:t>，由大坝主管部门统一</w:t>
      </w:r>
      <w:r>
        <w:rPr>
          <w:rFonts w:hint="default" w:ascii="Times New Roman" w:hAnsi="Times New Roman" w:eastAsia="宋体" w:cstheme="minorBidi"/>
          <w:kern w:val="2"/>
          <w:sz w:val="32"/>
          <w:szCs w:val="32"/>
          <w:highlight w:val="none"/>
          <w:lang w:val="en-US" w:eastAsia="zh-CN" w:bidi="ar-SA"/>
        </w:rPr>
        <w:t>向</w:t>
      </w:r>
      <w:r>
        <w:rPr>
          <w:rFonts w:hint="eastAsia" w:eastAsia="宋体" w:cstheme="minorBidi"/>
          <w:kern w:val="2"/>
          <w:sz w:val="32"/>
          <w:szCs w:val="32"/>
          <w:highlight w:val="none"/>
          <w:lang w:val="en-US" w:eastAsia="zh-CN" w:bidi="ar-SA"/>
        </w:rPr>
        <w:t>市</w:t>
      </w:r>
      <w:r>
        <w:rPr>
          <w:rFonts w:hint="eastAsia" w:ascii="Times New Roman" w:hAnsi="Times New Roman" w:eastAsia="宋体" w:cstheme="minorBidi"/>
          <w:kern w:val="2"/>
          <w:sz w:val="32"/>
          <w:szCs w:val="32"/>
          <w:highlight w:val="none"/>
          <w:lang w:val="en-US" w:eastAsia="zh-CN" w:bidi="ar-SA"/>
        </w:rPr>
        <w:t>级</w:t>
      </w:r>
      <w:r>
        <w:rPr>
          <w:rFonts w:hint="default" w:ascii="Times New Roman" w:hAnsi="Times New Roman" w:eastAsia="宋体" w:cstheme="minorBidi"/>
          <w:kern w:val="2"/>
          <w:sz w:val="32"/>
          <w:szCs w:val="32"/>
          <w:highlight w:val="none"/>
          <w:lang w:val="en-US" w:eastAsia="zh-CN" w:bidi="ar-SA"/>
        </w:rPr>
        <w:t>水文部门汇交。</w:t>
      </w:r>
    </w:p>
    <w:p w14:paraId="54018790">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第二十一条（信息安全）</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水库大坝监测数据采集、共享、应用必须符合国家网络信息安全要求，保障信息安全。</w:t>
      </w:r>
    </w:p>
    <w:p w14:paraId="279DAD3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宋体" w:cstheme="minorBidi"/>
          <w:kern w:val="2"/>
          <w:sz w:val="32"/>
          <w:szCs w:val="32"/>
          <w:highlight w:val="none"/>
          <w:lang w:val="en-US" w:eastAsia="zh-CN" w:bidi="ar-SA"/>
        </w:rPr>
      </w:pPr>
      <w:r>
        <w:rPr>
          <w:rFonts w:hint="default" w:ascii="Times New Roman" w:hAnsi="Times New Roman" w:eastAsia="宋体" w:cstheme="minorBidi"/>
          <w:kern w:val="2"/>
          <w:sz w:val="32"/>
          <w:szCs w:val="32"/>
          <w:highlight w:val="none"/>
          <w:lang w:val="en-US" w:eastAsia="zh-CN" w:bidi="ar-SA"/>
        </w:rPr>
        <w:t>雨水情、大坝安全监测、视频图像及其他采集设备应匹配兼容，并具有网络安全防护功能。监测平台应满足信息安全技术网络安全等级保护要求，重点采取安全认证、传输加密、存储加密、数据备份等安全措施，确保信息安全。</w:t>
      </w:r>
    </w:p>
    <w:p w14:paraId="58FD187B">
      <w:pPr>
        <w:numPr>
          <w:ilvl w:val="0"/>
          <w:numId w:val="2"/>
        </w:numPr>
        <w:bidi w:val="0"/>
        <w:jc w:val="center"/>
        <w:outlineLvl w:val="0"/>
        <w:rPr>
          <w:rFonts w:hint="eastAsia" w:eastAsia="宋体"/>
          <w:b/>
          <w:bCs/>
          <w:sz w:val="36"/>
          <w:szCs w:val="36"/>
          <w:lang w:val="en-US" w:eastAsia="zh-CN"/>
        </w:rPr>
      </w:pPr>
      <w:r>
        <w:rPr>
          <w:rFonts w:hint="eastAsia" w:eastAsia="宋体"/>
          <w:b/>
          <w:bCs/>
          <w:sz w:val="36"/>
          <w:szCs w:val="36"/>
          <w:lang w:val="en-US" w:eastAsia="zh-CN"/>
        </w:rPr>
        <w:t>监督管理</w:t>
      </w:r>
    </w:p>
    <w:p w14:paraId="66C3FA81">
      <w:pPr>
        <w:keepNext w:val="0"/>
        <w:keepLines w:val="0"/>
        <w:pageBreakBefore w:val="0"/>
        <w:widowControl/>
        <w:suppressLineNumbers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 xml:space="preserve">第二十二条（设置标识） </w:t>
      </w:r>
      <w:r>
        <w:rPr>
          <w:rFonts w:hint="eastAsia" w:ascii="Times New Roman" w:hAnsi="Times New Roman" w:eastAsia="宋体" w:cstheme="minorBidi"/>
          <w:kern w:val="2"/>
          <w:sz w:val="32"/>
          <w:szCs w:val="32"/>
          <w:highlight w:val="none"/>
          <w:lang w:val="en-US" w:eastAsia="zh-CN" w:bidi="ar-SA"/>
        </w:rPr>
        <w:t xml:space="preserve">大坝监测设施应当设置标识，并采取必要的防护措施。水库改扩建、除险加固和维修养护期间，应落实监测设施保护措施。 </w:t>
      </w:r>
    </w:p>
    <w:p w14:paraId="65C7FACF">
      <w:pPr>
        <w:keepNext w:val="0"/>
        <w:keepLines w:val="0"/>
        <w:pageBreakBefore w:val="0"/>
        <w:widowControl/>
        <w:suppressLineNumbers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 xml:space="preserve">第二十三条（严禁破坏） </w:t>
      </w:r>
      <w:r>
        <w:rPr>
          <w:rFonts w:hint="eastAsia" w:ascii="Times New Roman" w:hAnsi="Times New Roman" w:eastAsia="宋体" w:cstheme="minorBidi"/>
          <w:kern w:val="2"/>
          <w:sz w:val="32"/>
          <w:szCs w:val="32"/>
          <w:highlight w:val="none"/>
          <w:lang w:val="en-US" w:eastAsia="zh-CN" w:bidi="ar-SA"/>
        </w:rPr>
        <w:t>水库管理单位应当对损毁、破坏、盗窃大坝监测设施及其配套设备的单位和个人及时予以制止，并上报属地水利部门处理；违反治安管理规定的，移送公安机关依法给予治安管理处罚；构成犯罪的，依法移送司法机关追究刑事责任</w:t>
      </w:r>
      <w:r>
        <w:rPr>
          <w:rFonts w:hint="eastAsia" w:eastAsia="宋体" w:cstheme="minorBidi"/>
          <w:kern w:val="2"/>
          <w:sz w:val="32"/>
          <w:szCs w:val="32"/>
          <w:highlight w:val="none"/>
          <w:lang w:val="en-US" w:eastAsia="zh-CN" w:bidi="ar-SA"/>
        </w:rPr>
        <w:t>。</w:t>
      </w:r>
    </w:p>
    <w:p w14:paraId="7ABFF4F5">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第二十四条（业务培训）</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各地大坝主管单位和水库管理单位应加强水库大坝安全监测队伍业务培训，提高水库大坝安全监测设施建设与运行维护水平。</w:t>
      </w:r>
    </w:p>
    <w:p w14:paraId="7B76F040">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第二十五条（责任追究）</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对未按照本办法要求开展水库大坝安全监测工作的，由属地水利部门限期督促整改。出现安全问题、造成严重后果的，依法依规对有关单位和责任人实施责任追究。</w:t>
      </w:r>
    </w:p>
    <w:p w14:paraId="7E8E7159">
      <w:pPr>
        <w:numPr>
          <w:ilvl w:val="0"/>
          <w:numId w:val="2"/>
        </w:numPr>
        <w:bidi w:val="0"/>
        <w:jc w:val="center"/>
        <w:outlineLvl w:val="0"/>
        <w:rPr>
          <w:rFonts w:hint="eastAsia" w:eastAsia="宋体"/>
          <w:b/>
          <w:bCs/>
          <w:sz w:val="36"/>
          <w:szCs w:val="36"/>
          <w:lang w:val="en-US" w:eastAsia="zh-CN"/>
        </w:rPr>
      </w:pPr>
      <w:r>
        <w:rPr>
          <w:rFonts w:hint="eastAsia" w:eastAsia="宋体"/>
          <w:b/>
          <w:bCs/>
          <w:sz w:val="36"/>
          <w:szCs w:val="36"/>
          <w:lang w:val="en-US" w:eastAsia="zh-CN"/>
        </w:rPr>
        <w:t xml:space="preserve"> 附  则</w:t>
      </w:r>
    </w:p>
    <w:p w14:paraId="6C329DAF">
      <w:pPr>
        <w:keepNext w:val="0"/>
        <w:keepLines w:val="0"/>
        <w:pageBreakBefore w:val="0"/>
        <w:widowControl w:val="0"/>
        <w:kinsoku/>
        <w:wordWrap/>
        <w:overflowPunct/>
        <w:topLinePunct w:val="0"/>
        <w:autoSpaceDE/>
        <w:autoSpaceDN/>
        <w:bidi w:val="0"/>
        <w:adjustRightInd/>
        <w:snapToGrid/>
        <w:ind w:firstLine="720" w:firstLineChars="200"/>
        <w:jc w:val="both"/>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第二十六条（解释权限）</w:t>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宋体" w:cstheme="minorBidi"/>
          <w:kern w:val="2"/>
          <w:sz w:val="32"/>
          <w:szCs w:val="32"/>
          <w:highlight w:val="none"/>
          <w:lang w:val="en-US" w:eastAsia="zh-CN" w:bidi="ar-SA"/>
        </w:rPr>
        <w:t>本办法由省水利厅负责解释。</w:t>
      </w:r>
    </w:p>
    <w:p w14:paraId="4DFC8879">
      <w:pPr>
        <w:keepNext w:val="0"/>
        <w:keepLines w:val="0"/>
        <w:pageBreakBefore w:val="0"/>
        <w:widowControl w:val="0"/>
        <w:kinsoku/>
        <w:wordWrap/>
        <w:overflowPunct/>
        <w:topLinePunct w:val="0"/>
        <w:autoSpaceDE/>
        <w:autoSpaceDN/>
        <w:bidi w:val="0"/>
        <w:adjustRightInd/>
        <w:snapToGrid/>
        <w:ind w:firstLine="720" w:firstLineChars="200"/>
        <w:jc w:val="both"/>
        <w:textAlignment w:val="auto"/>
        <w:rPr>
          <w:rFonts w:hint="eastAsia" w:ascii="Times New Roman" w:hAnsi="Times New Roman" w:eastAsia="宋体" w:cstheme="minorBidi"/>
          <w:kern w:val="2"/>
          <w:sz w:val="32"/>
          <w:szCs w:val="32"/>
          <w:highlight w:val="none"/>
          <w:lang w:val="en-US" w:eastAsia="zh-CN" w:bidi="ar-SA"/>
        </w:rPr>
      </w:pPr>
      <w:r>
        <w:rPr>
          <w:rFonts w:hint="eastAsia" w:ascii="黑体" w:hAnsi="黑体" w:eastAsia="黑体" w:cs="黑体"/>
          <w:kern w:val="2"/>
          <w:sz w:val="36"/>
          <w:szCs w:val="36"/>
          <w:lang w:val="en-US" w:eastAsia="zh-CN" w:bidi="ar-SA"/>
        </w:rPr>
        <w:t>第二十七条（施行日期）</w:t>
      </w:r>
      <w:r>
        <w:rPr>
          <w:rStyle w:val="21"/>
          <w:rFonts w:hint="eastAsia" w:ascii="黑体" w:hAnsi="黑体" w:eastAsia="黑体" w:cs="黑体"/>
          <w:b w:val="0"/>
          <w:bCs/>
          <w:kern w:val="0"/>
          <w:sz w:val="36"/>
          <w:szCs w:val="36"/>
          <w:lang w:val="en-US" w:eastAsia="zh-CN" w:bidi="ar"/>
        </w:rPr>
        <w:t xml:space="preserve"> </w:t>
      </w:r>
      <w:r>
        <w:rPr>
          <w:rFonts w:hint="eastAsia" w:ascii="Times New Roman" w:hAnsi="Times New Roman" w:eastAsia="宋体" w:cstheme="minorBidi"/>
          <w:kern w:val="2"/>
          <w:sz w:val="32"/>
          <w:szCs w:val="32"/>
          <w:highlight w:val="none"/>
          <w:lang w:val="en-US" w:eastAsia="zh-CN" w:bidi="ar-SA"/>
        </w:rPr>
        <w:t>本办法自印发之日起施行。</w:t>
      </w:r>
    </w:p>
    <w:p w14:paraId="00A012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p>
    <w:p w14:paraId="266113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1053960"/>
      <w:docPartObj>
        <w:docPartGallery w:val="autotext"/>
      </w:docPartObj>
    </w:sdtPr>
    <w:sdtContent>
      <w:p w14:paraId="2A516E3A">
        <w:pPr>
          <w:pStyle w:val="14"/>
          <w:jc w:val="center"/>
        </w:pPr>
        <w:r>
          <w:fldChar w:fldCharType="begin"/>
        </w:r>
        <w:r>
          <w:instrText xml:space="preserve">PAGE   \* MERGEFORMAT</w:instrText>
        </w:r>
        <w:r>
          <w:fldChar w:fldCharType="separate"/>
        </w:r>
        <w:r>
          <w:rPr>
            <w:lang w:val="zh-CN"/>
          </w:rPr>
          <w:t>1</w:t>
        </w:r>
        <w:r>
          <w:fldChar w:fldCharType="end"/>
        </w:r>
      </w:p>
    </w:sdtContent>
  </w:sdt>
  <w:p w14:paraId="5EA8F8CA">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FFDF5C"/>
    <w:multiLevelType w:val="singleLevel"/>
    <w:tmpl w:val="F5FFDF5C"/>
    <w:lvl w:ilvl="0" w:tentative="0">
      <w:start w:val="3"/>
      <w:numFmt w:val="chineseCounting"/>
      <w:suff w:val="space"/>
      <w:lvlText w:val="第%1章"/>
      <w:lvlJc w:val="left"/>
      <w:rPr>
        <w:rFonts w:hint="eastAsia"/>
      </w:rPr>
    </w:lvl>
  </w:abstractNum>
  <w:abstractNum w:abstractNumId="1">
    <w:nsid w:val="05345332"/>
    <w:multiLevelType w:val="multilevel"/>
    <w:tmpl w:val="05345332"/>
    <w:lvl w:ilvl="0" w:tentative="0">
      <w:start w:val="1"/>
      <w:numFmt w:val="chineseCountingThousand"/>
      <w:pStyle w:val="2"/>
      <w:suff w:val="space"/>
      <w:lvlText w:val="%1"/>
      <w:lvlJc w:val="left"/>
      <w:pPr>
        <w:ind w:left="0" w:firstLine="0"/>
      </w:pPr>
      <w:rPr>
        <w:rFonts w:hint="eastAsia"/>
      </w:rPr>
    </w:lvl>
    <w:lvl w:ilvl="1" w:tentative="0">
      <w:start w:val="1"/>
      <w:numFmt w:val="decimal"/>
      <w:pStyle w:val="4"/>
      <w:isLgl/>
      <w:suff w:val="space"/>
      <w:lvlText w:val="%1.%2"/>
      <w:lvlJc w:val="left"/>
      <w:pPr>
        <w:ind w:left="0" w:firstLine="0"/>
      </w:pPr>
      <w:rPr>
        <w:rFonts w:hint="eastAsia"/>
      </w:rPr>
    </w:lvl>
    <w:lvl w:ilvl="2" w:tentative="0">
      <w:start w:val="1"/>
      <w:numFmt w:val="decimal"/>
      <w:pStyle w:val="5"/>
      <w:isLgl/>
      <w:suff w:val="space"/>
      <w:lvlText w:val="%1.%2.%3"/>
      <w:lvlJc w:val="left"/>
      <w:pPr>
        <w:ind w:left="0" w:firstLine="0"/>
      </w:pPr>
      <w:rPr>
        <w:rFonts w:hint="eastAsia"/>
      </w:rPr>
    </w:lvl>
    <w:lvl w:ilvl="3" w:tentative="0">
      <w:start w:val="1"/>
      <w:numFmt w:val="decimal"/>
      <w:pStyle w:val="6"/>
      <w:isLgl/>
      <w:suff w:val="space"/>
      <w:lvlText w:val="%1.%2.%3.%4"/>
      <w:lvlJc w:val="left"/>
      <w:pPr>
        <w:ind w:left="0" w:firstLine="0"/>
      </w:pPr>
      <w:rPr>
        <w:rFonts w:hint="eastAsia"/>
      </w:rPr>
    </w:lvl>
    <w:lvl w:ilvl="4" w:tentative="0">
      <w:start w:val="1"/>
      <w:numFmt w:val="decimal"/>
      <w:pStyle w:val="7"/>
      <w:isLgl/>
      <w:suff w:val="space"/>
      <w:lvlText w:val="%1.%2.%3.%4.%5"/>
      <w:lvlJc w:val="left"/>
      <w:pPr>
        <w:ind w:left="0" w:firstLine="0"/>
      </w:pPr>
      <w:rPr>
        <w:rFonts w:hint="eastAsia"/>
      </w:rPr>
    </w:lvl>
    <w:lvl w:ilvl="5" w:tentative="0">
      <w:start w:val="1"/>
      <w:numFmt w:val="decimal"/>
      <w:pStyle w:val="8"/>
      <w:isLgl/>
      <w:suff w:val="space"/>
      <w:lvlText w:val="%1.%2.%3.%4.%5.%6"/>
      <w:lvlJc w:val="left"/>
      <w:pPr>
        <w:ind w:left="0" w:firstLine="0"/>
      </w:pPr>
      <w:rPr>
        <w:rFonts w:hint="eastAsia"/>
      </w:rPr>
    </w:lvl>
    <w:lvl w:ilvl="6" w:tentative="0">
      <w:start w:val="1"/>
      <w:numFmt w:val="decimal"/>
      <w:pStyle w:val="9"/>
      <w:isLgl/>
      <w:suff w:val="space"/>
      <w:lvlText w:val="%1.%2.%3.%4.%5.%6.%7"/>
      <w:lvlJc w:val="left"/>
      <w:pPr>
        <w:ind w:left="0" w:firstLine="0"/>
      </w:pPr>
      <w:rPr>
        <w:rFonts w:hint="eastAsia"/>
      </w:rPr>
    </w:lvl>
    <w:lvl w:ilvl="7" w:tentative="0">
      <w:start w:val="1"/>
      <w:numFmt w:val="decimal"/>
      <w:pStyle w:val="10"/>
      <w:isLgl/>
      <w:lvlText w:val="%1.%2.%3.%4.%5.%6.%7.%8"/>
      <w:lvlJc w:val="left"/>
      <w:pPr>
        <w:tabs>
          <w:tab w:val="left" w:pos="0"/>
        </w:tabs>
        <w:ind w:left="0" w:firstLine="0"/>
      </w:pPr>
      <w:rPr>
        <w:rFonts w:hint="eastAsia"/>
      </w:rPr>
    </w:lvl>
    <w:lvl w:ilvl="8" w:tentative="0">
      <w:start w:val="1"/>
      <w:numFmt w:val="decimal"/>
      <w:isLgl/>
      <w:lvlText w:val="%1.%2.%3.%4.%5.%6.%7.%8.%9"/>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attachedTemplate r:id="rId1"/>
  <w:trackRevisions w:val="1"/>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A7A"/>
    <w:rsid w:val="00035283"/>
    <w:rsid w:val="00041F31"/>
    <w:rsid w:val="00050D6A"/>
    <w:rsid w:val="00070274"/>
    <w:rsid w:val="00087685"/>
    <w:rsid w:val="00107E79"/>
    <w:rsid w:val="001D338D"/>
    <w:rsid w:val="0020335D"/>
    <w:rsid w:val="002150B5"/>
    <w:rsid w:val="00263C02"/>
    <w:rsid w:val="002813F5"/>
    <w:rsid w:val="002C39D7"/>
    <w:rsid w:val="003404CE"/>
    <w:rsid w:val="00345AB7"/>
    <w:rsid w:val="0035508E"/>
    <w:rsid w:val="00367853"/>
    <w:rsid w:val="0037488C"/>
    <w:rsid w:val="004136DD"/>
    <w:rsid w:val="00427C90"/>
    <w:rsid w:val="00442765"/>
    <w:rsid w:val="00461AAB"/>
    <w:rsid w:val="004C0F9D"/>
    <w:rsid w:val="004E270E"/>
    <w:rsid w:val="00505C1A"/>
    <w:rsid w:val="00523A7A"/>
    <w:rsid w:val="00547695"/>
    <w:rsid w:val="00561CB2"/>
    <w:rsid w:val="0056529D"/>
    <w:rsid w:val="00593B24"/>
    <w:rsid w:val="00596795"/>
    <w:rsid w:val="00617882"/>
    <w:rsid w:val="00692F26"/>
    <w:rsid w:val="006E56DF"/>
    <w:rsid w:val="007400FF"/>
    <w:rsid w:val="007521A2"/>
    <w:rsid w:val="0078176A"/>
    <w:rsid w:val="0079085B"/>
    <w:rsid w:val="007D6542"/>
    <w:rsid w:val="007E3B0F"/>
    <w:rsid w:val="008219F1"/>
    <w:rsid w:val="008227D0"/>
    <w:rsid w:val="00847B88"/>
    <w:rsid w:val="008B5377"/>
    <w:rsid w:val="008B6F39"/>
    <w:rsid w:val="00A016AD"/>
    <w:rsid w:val="00A51961"/>
    <w:rsid w:val="00A524FA"/>
    <w:rsid w:val="00A866CA"/>
    <w:rsid w:val="00B0042C"/>
    <w:rsid w:val="00B5081E"/>
    <w:rsid w:val="00BC62D0"/>
    <w:rsid w:val="00BE4046"/>
    <w:rsid w:val="00BE7752"/>
    <w:rsid w:val="00C13313"/>
    <w:rsid w:val="00C81F93"/>
    <w:rsid w:val="00D860EF"/>
    <w:rsid w:val="00D94651"/>
    <w:rsid w:val="00DA23E5"/>
    <w:rsid w:val="00DB51E1"/>
    <w:rsid w:val="00DD0682"/>
    <w:rsid w:val="00DF6420"/>
    <w:rsid w:val="00E57E20"/>
    <w:rsid w:val="00EF1C79"/>
    <w:rsid w:val="00F27F4F"/>
    <w:rsid w:val="00F30C71"/>
    <w:rsid w:val="00F53B8B"/>
    <w:rsid w:val="00FA4C57"/>
    <w:rsid w:val="00FB20EA"/>
    <w:rsid w:val="0FC43855"/>
    <w:rsid w:val="10B97633"/>
    <w:rsid w:val="14E82BDD"/>
    <w:rsid w:val="18D77B49"/>
    <w:rsid w:val="1C9000B9"/>
    <w:rsid w:val="1F025179"/>
    <w:rsid w:val="21F215C4"/>
    <w:rsid w:val="336970F4"/>
    <w:rsid w:val="34F26A4A"/>
    <w:rsid w:val="37444E6E"/>
    <w:rsid w:val="37BF2ED1"/>
    <w:rsid w:val="3B170BE3"/>
    <w:rsid w:val="3B6C511E"/>
    <w:rsid w:val="3D485717"/>
    <w:rsid w:val="4002775E"/>
    <w:rsid w:val="44903E52"/>
    <w:rsid w:val="48802383"/>
    <w:rsid w:val="4B77064C"/>
    <w:rsid w:val="4ECB2E72"/>
    <w:rsid w:val="4EE17CDB"/>
    <w:rsid w:val="54F2448F"/>
    <w:rsid w:val="55FF16CA"/>
    <w:rsid w:val="5FDFA4AC"/>
    <w:rsid w:val="60806DF2"/>
    <w:rsid w:val="63473BF7"/>
    <w:rsid w:val="6B686E01"/>
    <w:rsid w:val="782D11B6"/>
    <w:rsid w:val="79B22B35"/>
    <w:rsid w:val="7B5DFE17"/>
    <w:rsid w:val="7B7C71DA"/>
    <w:rsid w:val="7BAE260E"/>
    <w:rsid w:val="7BD9F38B"/>
    <w:rsid w:val="7C37CC7C"/>
    <w:rsid w:val="7C9932BE"/>
    <w:rsid w:val="B7BFF280"/>
    <w:rsid w:val="B7C72D73"/>
    <w:rsid w:val="E1F576D2"/>
    <w:rsid w:val="E7B7430C"/>
    <w:rsid w:val="F5541A05"/>
    <w:rsid w:val="FBEAB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11"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4"/>
      <w:lang w:val="en-US" w:eastAsia="zh-CN" w:bidi="ar-SA"/>
    </w:rPr>
  </w:style>
  <w:style w:type="paragraph" w:styleId="2">
    <w:name w:val="heading 1"/>
    <w:basedOn w:val="1"/>
    <w:next w:val="3"/>
    <w:link w:val="23"/>
    <w:qFormat/>
    <w:uiPriority w:val="9"/>
    <w:pPr>
      <w:keepNext/>
      <w:keepLines/>
      <w:numPr>
        <w:ilvl w:val="0"/>
        <w:numId w:val="1"/>
      </w:numPr>
      <w:spacing w:before="340" w:after="330" w:line="578" w:lineRule="auto"/>
      <w:outlineLvl w:val="0"/>
    </w:pPr>
    <w:rPr>
      <w:b/>
      <w:bCs/>
      <w:kern w:val="44"/>
      <w:sz w:val="36"/>
      <w:szCs w:val="44"/>
    </w:rPr>
  </w:style>
  <w:style w:type="paragraph" w:styleId="4">
    <w:name w:val="heading 2"/>
    <w:basedOn w:val="1"/>
    <w:next w:val="3"/>
    <w:link w:val="24"/>
    <w:qFormat/>
    <w:uiPriority w:val="9"/>
    <w:pPr>
      <w:keepNext/>
      <w:keepLines/>
      <w:numPr>
        <w:ilvl w:val="1"/>
        <w:numId w:val="1"/>
      </w:numPr>
      <w:spacing w:before="260" w:after="260" w:line="416" w:lineRule="auto"/>
      <w:outlineLvl w:val="1"/>
    </w:pPr>
    <w:rPr>
      <w:rFonts w:eastAsiaTheme="majorEastAsia" w:cstheme="majorBidi"/>
      <w:b/>
      <w:bCs/>
      <w:sz w:val="32"/>
      <w:szCs w:val="32"/>
    </w:rPr>
  </w:style>
  <w:style w:type="paragraph" w:styleId="5">
    <w:name w:val="heading 3"/>
    <w:basedOn w:val="1"/>
    <w:next w:val="3"/>
    <w:link w:val="25"/>
    <w:qFormat/>
    <w:uiPriority w:val="9"/>
    <w:pPr>
      <w:keepNext/>
      <w:keepLines/>
      <w:numPr>
        <w:ilvl w:val="2"/>
        <w:numId w:val="1"/>
      </w:numPr>
      <w:spacing w:before="260" w:after="260" w:line="416" w:lineRule="auto"/>
      <w:outlineLvl w:val="2"/>
    </w:pPr>
    <w:rPr>
      <w:b/>
      <w:bCs/>
      <w:sz w:val="30"/>
      <w:szCs w:val="32"/>
    </w:rPr>
  </w:style>
  <w:style w:type="paragraph" w:styleId="6">
    <w:name w:val="heading 4"/>
    <w:basedOn w:val="1"/>
    <w:next w:val="3"/>
    <w:link w:val="26"/>
    <w:qFormat/>
    <w:uiPriority w:val="9"/>
    <w:pPr>
      <w:keepNext/>
      <w:keepLines/>
      <w:numPr>
        <w:ilvl w:val="3"/>
        <w:numId w:val="1"/>
      </w:numPr>
      <w:spacing w:before="280" w:after="290" w:line="376" w:lineRule="auto"/>
      <w:outlineLvl w:val="3"/>
    </w:pPr>
    <w:rPr>
      <w:rFonts w:eastAsiaTheme="majorEastAsia" w:cstheme="majorBidi"/>
      <w:b/>
      <w:bCs/>
      <w:sz w:val="28"/>
      <w:szCs w:val="28"/>
    </w:rPr>
  </w:style>
  <w:style w:type="paragraph" w:styleId="7">
    <w:name w:val="heading 5"/>
    <w:basedOn w:val="1"/>
    <w:next w:val="3"/>
    <w:link w:val="27"/>
    <w:qFormat/>
    <w:uiPriority w:val="9"/>
    <w:pPr>
      <w:keepNext/>
      <w:keepLines/>
      <w:numPr>
        <w:ilvl w:val="4"/>
        <w:numId w:val="1"/>
      </w:numPr>
      <w:spacing w:before="280" w:after="290" w:line="376" w:lineRule="auto"/>
      <w:outlineLvl w:val="4"/>
    </w:pPr>
    <w:rPr>
      <w:b/>
      <w:bCs/>
      <w:sz w:val="28"/>
      <w:szCs w:val="28"/>
    </w:rPr>
  </w:style>
  <w:style w:type="paragraph" w:styleId="8">
    <w:name w:val="heading 6"/>
    <w:basedOn w:val="1"/>
    <w:next w:val="3"/>
    <w:link w:val="28"/>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rPr>
  </w:style>
  <w:style w:type="paragraph" w:styleId="9">
    <w:name w:val="heading 7"/>
    <w:basedOn w:val="1"/>
    <w:next w:val="3"/>
    <w:link w:val="29"/>
    <w:unhideWhenUsed/>
    <w:qFormat/>
    <w:uiPriority w:val="9"/>
    <w:pPr>
      <w:keepNext/>
      <w:keepLines/>
      <w:numPr>
        <w:ilvl w:val="6"/>
        <w:numId w:val="1"/>
      </w:numPr>
      <w:spacing w:before="240" w:after="64" w:line="320" w:lineRule="auto"/>
      <w:outlineLvl w:val="6"/>
    </w:pPr>
    <w:rPr>
      <w:rFonts w:eastAsia="Times New Roman"/>
      <w:b/>
      <w:bCs/>
    </w:rPr>
  </w:style>
  <w:style w:type="paragraph" w:styleId="10">
    <w:name w:val="heading 8"/>
    <w:basedOn w:val="1"/>
    <w:next w:val="1"/>
    <w:link w:val="30"/>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0"/>
    <w:pPr>
      <w:ind w:firstLine="420" w:firstLineChars="200"/>
    </w:pPr>
  </w:style>
  <w:style w:type="paragraph" w:styleId="11">
    <w:name w:val="Document Map"/>
    <w:basedOn w:val="1"/>
    <w:link w:val="32"/>
    <w:semiHidden/>
    <w:unhideWhenUsed/>
    <w:qFormat/>
    <w:uiPriority w:val="99"/>
    <w:rPr>
      <w:rFonts w:ascii="宋体"/>
      <w:sz w:val="18"/>
      <w:szCs w:val="18"/>
    </w:rPr>
  </w:style>
  <w:style w:type="paragraph" w:styleId="12">
    <w:name w:val="annotation text"/>
    <w:basedOn w:val="1"/>
    <w:link w:val="36"/>
    <w:semiHidden/>
    <w:unhideWhenUsed/>
    <w:qFormat/>
    <w:uiPriority w:val="99"/>
    <w:pPr>
      <w:jc w:val="left"/>
    </w:pPr>
  </w:style>
  <w:style w:type="paragraph" w:styleId="13">
    <w:name w:val="Balloon Text"/>
    <w:basedOn w:val="1"/>
    <w:link w:val="33"/>
    <w:semiHidden/>
    <w:unhideWhenUsed/>
    <w:qFormat/>
    <w:uiPriority w:val="99"/>
    <w:pPr>
      <w:spacing w:line="240" w:lineRule="auto"/>
    </w:pPr>
    <w:rPr>
      <w:sz w:val="18"/>
      <w:szCs w:val="18"/>
    </w:rPr>
  </w:style>
  <w:style w:type="paragraph" w:styleId="14">
    <w:name w:val="footer"/>
    <w:basedOn w:val="1"/>
    <w:link w:val="35"/>
    <w:unhideWhenUsed/>
    <w:qFormat/>
    <w:uiPriority w:val="99"/>
    <w:pPr>
      <w:tabs>
        <w:tab w:val="center" w:pos="4153"/>
        <w:tab w:val="right" w:pos="8306"/>
      </w:tabs>
      <w:snapToGrid w:val="0"/>
      <w:spacing w:line="240" w:lineRule="auto"/>
      <w:jc w:val="left"/>
    </w:pPr>
    <w:rPr>
      <w:sz w:val="18"/>
      <w:szCs w:val="18"/>
    </w:rPr>
  </w:style>
  <w:style w:type="paragraph" w:styleId="15">
    <w:name w:val="header"/>
    <w:basedOn w:val="1"/>
    <w:link w:val="3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7">
    <w:name w:val="annotation subject"/>
    <w:basedOn w:val="12"/>
    <w:next w:val="12"/>
    <w:link w:val="37"/>
    <w:semiHidden/>
    <w:unhideWhenUsed/>
    <w:qFormat/>
    <w:uiPriority w:val="99"/>
    <w:rPr>
      <w:b/>
      <w:bCs/>
    </w:rPr>
  </w:style>
  <w:style w:type="table" w:styleId="19">
    <w:name w:val="Table Grid"/>
    <w:basedOn w:val="18"/>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9"/>
    <w:rPr>
      <w:b/>
      <w:bCs/>
      <w:kern w:val="44"/>
      <w:sz w:val="36"/>
      <w:szCs w:val="44"/>
    </w:rPr>
  </w:style>
  <w:style w:type="character" w:customStyle="1" w:styleId="24">
    <w:name w:val="标题 2 字符"/>
    <w:basedOn w:val="20"/>
    <w:link w:val="4"/>
    <w:qFormat/>
    <w:uiPriority w:val="9"/>
    <w:rPr>
      <w:rFonts w:eastAsiaTheme="majorEastAsia" w:cstheme="majorBidi"/>
      <w:b/>
      <w:bCs/>
      <w:sz w:val="32"/>
      <w:szCs w:val="32"/>
    </w:rPr>
  </w:style>
  <w:style w:type="character" w:customStyle="1" w:styleId="25">
    <w:name w:val="标题 3 字符"/>
    <w:basedOn w:val="20"/>
    <w:link w:val="5"/>
    <w:qFormat/>
    <w:uiPriority w:val="9"/>
    <w:rPr>
      <w:b/>
      <w:bCs/>
      <w:sz w:val="30"/>
      <w:szCs w:val="32"/>
    </w:rPr>
  </w:style>
  <w:style w:type="character" w:customStyle="1" w:styleId="26">
    <w:name w:val="标题 4 字符"/>
    <w:basedOn w:val="20"/>
    <w:link w:val="6"/>
    <w:qFormat/>
    <w:uiPriority w:val="9"/>
    <w:rPr>
      <w:rFonts w:eastAsiaTheme="majorEastAsia" w:cstheme="majorBidi"/>
      <w:b/>
      <w:bCs/>
      <w:sz w:val="28"/>
      <w:szCs w:val="28"/>
    </w:rPr>
  </w:style>
  <w:style w:type="character" w:customStyle="1" w:styleId="27">
    <w:name w:val="标题 5 字符"/>
    <w:basedOn w:val="20"/>
    <w:link w:val="7"/>
    <w:qFormat/>
    <w:uiPriority w:val="9"/>
    <w:rPr>
      <w:b/>
      <w:bCs/>
      <w:sz w:val="28"/>
      <w:szCs w:val="28"/>
    </w:rPr>
  </w:style>
  <w:style w:type="character" w:customStyle="1" w:styleId="28">
    <w:name w:val="标题 6 字符"/>
    <w:basedOn w:val="20"/>
    <w:link w:val="8"/>
    <w:qFormat/>
    <w:uiPriority w:val="9"/>
    <w:rPr>
      <w:rFonts w:asciiTheme="majorHAnsi" w:hAnsiTheme="majorHAnsi" w:eastAsiaTheme="majorEastAsia" w:cstheme="majorBidi"/>
      <w:b/>
      <w:bCs/>
    </w:rPr>
  </w:style>
  <w:style w:type="character" w:customStyle="1" w:styleId="29">
    <w:name w:val="标题 7 字符"/>
    <w:basedOn w:val="20"/>
    <w:link w:val="9"/>
    <w:qFormat/>
    <w:uiPriority w:val="9"/>
    <w:rPr>
      <w:rFonts w:eastAsia="Times New Roman"/>
      <w:b/>
      <w:bCs/>
    </w:rPr>
  </w:style>
  <w:style w:type="character" w:customStyle="1" w:styleId="30">
    <w:name w:val="标题 8 字符"/>
    <w:basedOn w:val="20"/>
    <w:link w:val="10"/>
    <w:qFormat/>
    <w:uiPriority w:val="9"/>
    <w:rPr>
      <w:rFonts w:asciiTheme="majorHAnsi" w:hAnsiTheme="majorHAnsi" w:eastAsiaTheme="majorEastAsia" w:cstheme="majorBidi"/>
    </w:rPr>
  </w:style>
  <w:style w:type="paragraph" w:customStyle="1" w:styleId="31">
    <w:name w:val="图表标题"/>
    <w:basedOn w:val="1"/>
    <w:qFormat/>
    <w:uiPriority w:val="0"/>
    <w:pPr>
      <w:jc w:val="center"/>
    </w:pPr>
    <w:rPr>
      <w:rFonts w:eastAsia="黑体"/>
      <w:sz w:val="21"/>
      <w:szCs w:val="21"/>
    </w:rPr>
  </w:style>
  <w:style w:type="character" w:customStyle="1" w:styleId="32">
    <w:name w:val="文档结构图 字符"/>
    <w:basedOn w:val="20"/>
    <w:link w:val="11"/>
    <w:semiHidden/>
    <w:qFormat/>
    <w:uiPriority w:val="99"/>
    <w:rPr>
      <w:rFonts w:ascii="宋体"/>
      <w:sz w:val="18"/>
      <w:szCs w:val="18"/>
    </w:rPr>
  </w:style>
  <w:style w:type="character" w:customStyle="1" w:styleId="33">
    <w:name w:val="批注框文本 字符"/>
    <w:basedOn w:val="20"/>
    <w:link w:val="13"/>
    <w:semiHidden/>
    <w:qFormat/>
    <w:uiPriority w:val="99"/>
    <w:rPr>
      <w:sz w:val="18"/>
      <w:szCs w:val="18"/>
    </w:rPr>
  </w:style>
  <w:style w:type="character" w:customStyle="1" w:styleId="34">
    <w:name w:val="页眉 字符"/>
    <w:basedOn w:val="20"/>
    <w:link w:val="15"/>
    <w:qFormat/>
    <w:uiPriority w:val="99"/>
    <w:rPr>
      <w:sz w:val="18"/>
      <w:szCs w:val="18"/>
    </w:rPr>
  </w:style>
  <w:style w:type="character" w:customStyle="1" w:styleId="35">
    <w:name w:val="页脚 字符"/>
    <w:basedOn w:val="20"/>
    <w:link w:val="14"/>
    <w:qFormat/>
    <w:uiPriority w:val="99"/>
    <w:rPr>
      <w:sz w:val="18"/>
      <w:szCs w:val="18"/>
    </w:rPr>
  </w:style>
  <w:style w:type="character" w:customStyle="1" w:styleId="36">
    <w:name w:val="批注文字 字符"/>
    <w:basedOn w:val="20"/>
    <w:link w:val="12"/>
    <w:semiHidden/>
    <w:qFormat/>
    <w:uiPriority w:val="99"/>
  </w:style>
  <w:style w:type="character" w:customStyle="1" w:styleId="37">
    <w:name w:val="批注主题 字符"/>
    <w:basedOn w:val="36"/>
    <w:link w:val="17"/>
    <w:semiHidden/>
    <w:qFormat/>
    <w:uiPriority w:val="99"/>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slt\C:\Users\work\AppData\Roaming\Microsoft\Templates\&#21806;&#21069;_&#25991;&#26723;&#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售前_文档模板</Template>
  <Pages>6</Pages>
  <Words>2392</Words>
  <Characters>2394</Characters>
  <Lines>1</Lines>
  <Paragraphs>1</Paragraphs>
  <TotalTime>6</TotalTime>
  <ScaleCrop>false</ScaleCrop>
  <LinksUpToDate>false</LinksUpToDate>
  <CharactersWithSpaces>2435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2016-07-09T19:19:00Z</dcterms:created>
  <dc:creator>work</dc:creator>
  <cp:lastModifiedBy>源</cp:lastModifiedBy>
  <cp:lastPrinted>2026-08-12T01:21:19Z</cp:lastPrinted>
  <dcterms:modified xsi:type="dcterms:W3CDTF">2026-08-12T01:21:22Z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eyJoZGlkIjoiOTUyNmIzOGEyYTc3NGVmMjNlYmQwMmRhMzhkNTZhNWEiLCJ1c2VySWQiOiIxMTQyNDk0MDQ1In0=</vt:lpwstr>
  </property>
  <property fmtid="{D5CDD505-2E9C-101B-9397-08002B2CF9AE}" pid="3" name="KSOProductBuildVer">
    <vt:lpwstr>2052-12.1.0.28043</vt:lpwstr>
  </property>
  <property fmtid="{D5CDD505-2E9C-101B-9397-08002B2CF9AE}" pid="4" name="ICV">
    <vt:lpwstr>D6BA21A03E49455EB311F6B61121ACB1_12</vt:lpwstr>
  </property>
</Properties>
</file>