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876"/>
        <w:tblW w:w="159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68"/>
        <w:gridCol w:w="709"/>
        <w:gridCol w:w="567"/>
        <w:gridCol w:w="709"/>
        <w:gridCol w:w="709"/>
        <w:gridCol w:w="708"/>
        <w:gridCol w:w="709"/>
        <w:gridCol w:w="567"/>
        <w:gridCol w:w="709"/>
        <w:gridCol w:w="1134"/>
        <w:gridCol w:w="1134"/>
        <w:gridCol w:w="709"/>
        <w:gridCol w:w="1241"/>
        <w:gridCol w:w="733"/>
        <w:gridCol w:w="567"/>
        <w:gridCol w:w="577"/>
        <w:gridCol w:w="709"/>
        <w:gridCol w:w="665"/>
        <w:gridCol w:w="611"/>
        <w:gridCol w:w="8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9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附件4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市、县（市、区）水利风景区复核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台账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1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景区名称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景区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类型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批准设立年份</w:t>
            </w:r>
          </w:p>
        </w:tc>
        <w:tc>
          <w:tcPr>
            <w:tcW w:w="269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建设管理情况</w:t>
            </w:r>
          </w:p>
        </w:tc>
        <w:tc>
          <w:tcPr>
            <w:tcW w:w="368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功能发挥情况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安全隐患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存在的问题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是否制定整改方案</w:t>
            </w:r>
          </w:p>
        </w:tc>
        <w:tc>
          <w:tcPr>
            <w:tcW w:w="57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整改期限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责任人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检查时间</w:t>
            </w:r>
          </w:p>
        </w:tc>
        <w:tc>
          <w:tcPr>
            <w:tcW w:w="61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取得其他等级称号</w:t>
            </w:r>
          </w:p>
        </w:tc>
        <w:tc>
          <w:tcPr>
            <w:tcW w:w="81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备注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（景区级别）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是否编制规划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景区建设是否按照规划实施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制度是否完备并落实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是否制定应急预案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景区内工程主体功能是否正常发挥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较批准设立前，水质变化情况（提升、维持、下降）及现有水质等级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较批准设立前，水生态环境变化情况（提升、维持、下降）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是否开展水科普文化建设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</w:rPr>
              <w:t>是否存在侵占景区河湖岸线、采砂、排污、网箱养殖，以及设施设备、游览服务等安全隐患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....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B8"/>
    <w:rsid w:val="00463AA2"/>
    <w:rsid w:val="004F38EA"/>
    <w:rsid w:val="007163B8"/>
    <w:rsid w:val="008A392F"/>
    <w:rsid w:val="009C6EC3"/>
    <w:rsid w:val="120049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2020-05-09T01:31:00Z</dcterms:created>
  <dc:creator>PC</dc:creator>
  <cp:lastModifiedBy>shenjiyang</cp:lastModifiedBy>
  <dcterms:modified xsi:type="dcterms:W3CDTF">2020-05-22T06:38:05Z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