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63" w:rsidRDefault="001D5F63">
      <w:pPr>
        <w:jc w:val="center"/>
        <w:rPr>
          <w:rFonts w:ascii="方正小标宋简体" w:eastAsia="方正小标宋简体" w:hAnsi="方正小标宋简体" w:hint="default"/>
          <w:sz w:val="36"/>
          <w:szCs w:val="36"/>
        </w:rPr>
      </w:pPr>
      <w:bookmarkStart w:id="0" w:name="_GoBack"/>
      <w:r>
        <w:rPr>
          <w:rFonts w:ascii="方正小标宋简体" w:eastAsia="方正小标宋简体" w:hAnsi="方正小标宋简体"/>
          <w:sz w:val="36"/>
          <w:szCs w:val="36"/>
        </w:rPr>
        <w:t>吉林省美丽河湖评定赋分表</w:t>
      </w:r>
    </w:p>
    <w:tbl>
      <w:tblPr>
        <w:tblW w:w="9352" w:type="dxa"/>
        <w:jc w:val="center"/>
        <w:tblLayout w:type="fixed"/>
        <w:tblCellMar>
          <w:top w:w="15" w:type="dxa"/>
          <w:left w:w="15" w:type="dxa"/>
          <w:bottom w:w="15" w:type="dxa"/>
          <w:right w:w="15" w:type="dxa"/>
        </w:tblCellMar>
        <w:tblLook w:val="04A0" w:firstRow="1" w:lastRow="0" w:firstColumn="1" w:lastColumn="0" w:noHBand="0" w:noVBand="1"/>
      </w:tblPr>
      <w:tblGrid>
        <w:gridCol w:w="405"/>
        <w:gridCol w:w="657"/>
        <w:gridCol w:w="640"/>
        <w:gridCol w:w="6608"/>
        <w:gridCol w:w="372"/>
        <w:gridCol w:w="340"/>
        <w:gridCol w:w="330"/>
      </w:tblGrid>
      <w:tr w:rsidR="00432663">
        <w:trPr>
          <w:trHeight w:val="115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序号</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w:t>
            </w:r>
            <w:r>
              <w:rPr>
                <w:rFonts w:ascii="宋体" w:eastAsia="宋体" w:hAnsi="宋体" w:cs="宋体"/>
                <w:b/>
                <w:color w:val="000000"/>
                <w:kern w:val="0"/>
                <w:sz w:val="22"/>
                <w:lang w:bidi="ar"/>
              </w:rPr>
              <w:br/>
            </w:r>
            <w:r>
              <w:rPr>
                <w:rFonts w:ascii="宋体" w:eastAsia="宋体" w:hAnsi="宋体" w:cs="宋体"/>
                <w:b/>
                <w:color w:val="000000"/>
                <w:kern w:val="0"/>
                <w:sz w:val="22"/>
                <w:lang w:bidi="ar"/>
              </w:rPr>
              <w:t>方向</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评定内容</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评分要求</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应得分</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实得分</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备注</w:t>
            </w:r>
          </w:p>
        </w:tc>
      </w:tr>
      <w:tr w:rsidR="00432663">
        <w:trPr>
          <w:trHeight w:val="96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安澜</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24</w:t>
            </w:r>
            <w:r>
              <w:rPr>
                <w:rFonts w:ascii="仿宋_GB2312" w:eastAsia="仿宋_GB2312" w:hAnsi="宋体" w:cs="仿宋_GB2312"/>
                <w:color w:val="000000"/>
                <w:kern w:val="0"/>
                <w:sz w:val="16"/>
                <w:szCs w:val="16"/>
                <w:lang w:bidi="ar"/>
              </w:rPr>
              <w:t>分）</w:t>
            </w:r>
          </w:p>
        </w:tc>
        <w:tc>
          <w:tcPr>
            <w:tcW w:w="640" w:type="dxa"/>
            <w:vMerge w:val="restart"/>
            <w:tcBorders>
              <w:top w:val="single" w:sz="4" w:space="0" w:color="000000"/>
              <w:left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行洪达标情况</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河湖行洪断面符合防洪、排涝、通航等规划设计标准，得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分；否则不得分。没有排涝、通航需求的申报河湖，需提供相关证明材料。</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57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tcBorders>
              <w:top w:val="single" w:sz="4" w:space="0" w:color="000000"/>
              <w:left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申报河流：</w:t>
            </w:r>
            <w:r>
              <w:rPr>
                <w:rFonts w:ascii="仿宋_GB2312" w:eastAsia="仿宋_GB2312" w:hAnsi="宋体" w:cs="仿宋_GB2312"/>
                <w:color w:val="000000"/>
                <w:kern w:val="0"/>
                <w:sz w:val="22"/>
                <w:lang w:bidi="ar"/>
              </w:rPr>
              <w:t>发现淤积、不合理的缩窄、填埋河道及改道、裁弯取直等减小行洪断面或认为变更河道行为任何一项，扣</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w:t>
            </w:r>
            <w:r>
              <w:rPr>
                <w:rFonts w:ascii="仿宋_GB2312" w:eastAsia="仿宋_GB2312" w:hAnsi="宋体" w:cs="仿宋_GB2312"/>
                <w:color w:val="000000"/>
                <w:kern w:val="0"/>
                <w:sz w:val="22"/>
                <w:lang w:bidi="ar"/>
              </w:rPr>
              <w:br/>
            </w:r>
            <w:r>
              <w:rPr>
                <w:rStyle w:val="font91"/>
                <w:lang w:bidi="ar"/>
              </w:rPr>
              <w:t>申报湖泊：</w:t>
            </w:r>
            <w:r>
              <w:rPr>
                <w:rFonts w:ascii="仿宋_GB2312" w:eastAsia="仿宋_GB2312" w:hAnsi="宋体" w:cs="仿宋_GB2312"/>
                <w:color w:val="000000"/>
                <w:kern w:val="0"/>
                <w:sz w:val="22"/>
                <w:lang w:bidi="ar"/>
              </w:rPr>
              <w:t>按照现状水面面积除以全国第一次水利普查水面面积计算湖泊水域保有率。保有率</w:t>
            </w:r>
            <w:r>
              <w:rPr>
                <w:rFonts w:ascii="Arial" w:eastAsia="黑体" w:hAnsi="Arial" w:cs="Arial"/>
                <w:color w:val="000000"/>
                <w:kern w:val="0"/>
                <w:sz w:val="22"/>
                <w:lang w:bidi="ar"/>
              </w:rPr>
              <w:t>≥</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时，得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分；保有率</w:t>
            </w:r>
            <w:r>
              <w:rPr>
                <w:rFonts w:ascii="仿宋_GB2312" w:eastAsia="仿宋_GB2312" w:hAnsi="宋体" w:cs="仿宋_GB2312"/>
                <w:color w:val="000000"/>
                <w:kern w:val="0"/>
                <w:sz w:val="22"/>
                <w:lang w:bidi="ar"/>
              </w:rPr>
              <w:t>&lt;1</w:t>
            </w:r>
            <w:r>
              <w:rPr>
                <w:rFonts w:ascii="仿宋_GB2312" w:eastAsia="仿宋_GB2312" w:hAnsi="宋体" w:cs="仿宋_GB2312"/>
                <w:color w:val="000000"/>
                <w:kern w:val="0"/>
                <w:sz w:val="22"/>
                <w:lang w:bidi="ar"/>
              </w:rPr>
              <w:t>时，得结果</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57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tcBorders>
              <w:top w:val="single" w:sz="4" w:space="0" w:color="000000"/>
              <w:left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申报河流：</w:t>
            </w:r>
            <w:r>
              <w:rPr>
                <w:rFonts w:ascii="仿宋_GB2312" w:eastAsia="仿宋_GB2312" w:hAnsi="宋体" w:cs="仿宋_GB2312"/>
                <w:color w:val="000000"/>
                <w:kern w:val="0"/>
                <w:sz w:val="22"/>
                <w:lang w:bidi="ar"/>
              </w:rPr>
              <w:t>依据水岸地质边界条件和河势径流评估河势稳定性。不影响的，得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分；影响的，不得分。</w:t>
            </w:r>
            <w:r>
              <w:rPr>
                <w:rFonts w:ascii="仿宋_GB2312" w:eastAsia="仿宋_GB2312" w:hAnsi="宋体" w:cs="仿宋_GB2312"/>
                <w:color w:val="000000"/>
                <w:kern w:val="0"/>
                <w:sz w:val="22"/>
                <w:lang w:bidi="ar"/>
              </w:rPr>
              <w:br/>
            </w:r>
            <w:r>
              <w:rPr>
                <w:rFonts w:ascii="黑体" w:eastAsia="黑体" w:hAnsi="宋体" w:cs="黑体"/>
                <w:color w:val="000000"/>
                <w:kern w:val="0"/>
                <w:sz w:val="22"/>
                <w:lang w:bidi="ar"/>
              </w:rPr>
              <w:t>申报湖泊：</w:t>
            </w:r>
            <w:r>
              <w:rPr>
                <w:rFonts w:ascii="仿宋_GB2312" w:eastAsia="仿宋_GB2312" w:hAnsi="宋体" w:cs="仿宋_GB2312"/>
                <w:color w:val="000000"/>
                <w:kern w:val="0"/>
                <w:sz w:val="22"/>
                <w:lang w:bidi="ar"/>
              </w:rPr>
              <w:t>依据水岸地质边界条件和入湖河势径流评估河势稳定性。不影响的</w:t>
            </w:r>
            <w:r>
              <w:rPr>
                <w:rFonts w:ascii="仿宋_GB2312" w:eastAsia="仿宋_GB2312" w:hAnsi="宋体" w:cs="仿宋_GB2312"/>
                <w:b/>
                <w:color w:val="000000"/>
                <w:kern w:val="0"/>
                <w:sz w:val="22"/>
                <w:lang w:bidi="ar"/>
              </w:rPr>
              <w:t>，</w:t>
            </w:r>
            <w:r>
              <w:rPr>
                <w:rFonts w:ascii="仿宋_GB2312" w:eastAsia="仿宋_GB2312" w:hAnsi="宋体" w:cs="仿宋_GB2312"/>
                <w:color w:val="000000"/>
                <w:kern w:val="0"/>
                <w:sz w:val="22"/>
                <w:lang w:bidi="ar"/>
              </w:rPr>
              <w:t>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分；影响的，不得分。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276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涉河构筑物</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防洪情况</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申报河流：</w:t>
            </w:r>
            <w:r>
              <w:rPr>
                <w:rFonts w:ascii="仿宋_GB2312" w:eastAsia="仿宋_GB2312" w:hAnsi="宋体" w:cs="仿宋_GB2312"/>
                <w:color w:val="000000"/>
                <w:kern w:val="0"/>
                <w:sz w:val="22"/>
                <w:lang w:bidi="ar"/>
              </w:rPr>
              <w:t>河道管理范围内涉河构筑物（包括自身防洪和影响河道行洪）。不影响防洪的，得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分；可控范围存在防洪影响的，不得分。对于无涉河构筑物的河流，符合“自然主导、生态优先”原则的，得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w:t>
            </w:r>
            <w:r>
              <w:rPr>
                <w:rFonts w:ascii="黑体" w:eastAsia="黑体" w:hAnsi="宋体" w:cs="黑体"/>
                <w:color w:val="000000"/>
                <w:kern w:val="0"/>
                <w:sz w:val="22"/>
                <w:lang w:bidi="ar"/>
              </w:rPr>
              <w:br/>
            </w:r>
            <w:r>
              <w:rPr>
                <w:rFonts w:ascii="黑体" w:eastAsia="黑体" w:hAnsi="宋体" w:cs="黑体"/>
                <w:color w:val="000000"/>
                <w:kern w:val="0"/>
                <w:sz w:val="22"/>
                <w:lang w:bidi="ar"/>
              </w:rPr>
              <w:t>申报湖泊：</w:t>
            </w:r>
            <w:r>
              <w:rPr>
                <w:rFonts w:ascii="仿宋_GB2312" w:eastAsia="仿宋_GB2312" w:hAnsi="宋体" w:cs="仿宋_GB2312"/>
                <w:color w:val="000000"/>
                <w:kern w:val="0"/>
                <w:sz w:val="22"/>
                <w:lang w:bidi="ar"/>
              </w:rPr>
              <w:t>湖泊管理</w:t>
            </w:r>
            <w:proofErr w:type="gramStart"/>
            <w:r>
              <w:rPr>
                <w:rFonts w:ascii="仿宋_GB2312" w:eastAsia="仿宋_GB2312" w:hAnsi="宋体" w:cs="仿宋_GB2312"/>
                <w:color w:val="000000"/>
                <w:kern w:val="0"/>
                <w:sz w:val="22"/>
                <w:lang w:bidi="ar"/>
              </w:rPr>
              <w:t>范围内涉湖</w:t>
            </w:r>
            <w:proofErr w:type="gramEnd"/>
            <w:r>
              <w:rPr>
                <w:rFonts w:ascii="仿宋_GB2312" w:eastAsia="仿宋_GB2312" w:hAnsi="宋体" w:cs="仿宋_GB2312"/>
                <w:color w:val="000000"/>
                <w:kern w:val="0"/>
                <w:sz w:val="22"/>
                <w:lang w:bidi="ar"/>
              </w:rPr>
              <w:t>构筑物的防洪影响（包括自身防洪和影响湖泊行洪）。不影响防洪的，得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分；可控范围存在防洪影响的，不得分。对于无涉湖构筑物的湖泊，符合“自然主导、生态优先”原则的，得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23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5</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综合评定调蓄和排涝工程构筑物使用现状满足设计功能要求的，得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分；不满足的，不得分。对于无调蓄和排涝工程构筑物的河湖，得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59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6</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河湖畅通性</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科学有效完成河湖管理范围划定任务的，得</w:t>
            </w:r>
            <w:r>
              <w:rPr>
                <w:rFonts w:ascii="仿宋_GB2312" w:eastAsia="仿宋_GB2312" w:hAnsi="宋体" w:cs="仿宋_GB2312"/>
                <w:color w:val="000000"/>
                <w:kern w:val="0"/>
                <w:sz w:val="22"/>
                <w:lang w:bidi="ar"/>
              </w:rPr>
              <w:t>3</w:t>
            </w:r>
            <w:r>
              <w:rPr>
                <w:rFonts w:ascii="仿宋_GB2312" w:eastAsia="仿宋_GB2312" w:hAnsi="宋体" w:cs="仿宋_GB2312"/>
                <w:color w:val="000000"/>
                <w:kern w:val="0"/>
                <w:sz w:val="22"/>
                <w:lang w:bidi="ar"/>
              </w:rPr>
              <w:t>分；否则不得分。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625"/>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7</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编制并印发河湖岸线保护和利用规划，得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25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8</w:t>
            </w: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存在“乱堆、乱采、乱占、乱建”等“四乱”现象，发现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项一般“四乱”问题，扣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分（不与前述“减小行洪断面行为”重复扣分），累计扣满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bl>
    <w:p w:rsidR="00432663" w:rsidRDefault="001D5F63">
      <w:pPr>
        <w:jc w:val="center"/>
        <w:rPr>
          <w:rFonts w:ascii="方正小标宋简体" w:eastAsia="方正小标宋简体" w:hAnsi="方正小标宋简体" w:hint="default"/>
          <w:sz w:val="36"/>
          <w:szCs w:val="36"/>
        </w:rPr>
      </w:pPr>
      <w:r>
        <w:rPr>
          <w:rFonts w:ascii="方正小标宋简体" w:eastAsia="方正小标宋简体" w:hAnsi="方正小标宋简体"/>
          <w:sz w:val="36"/>
          <w:szCs w:val="36"/>
        </w:rPr>
        <w:lastRenderedPageBreak/>
        <w:t>吉林省美丽河湖评定赋分表</w:t>
      </w:r>
    </w:p>
    <w:tbl>
      <w:tblPr>
        <w:tblW w:w="9350" w:type="dxa"/>
        <w:tblInd w:w="-238" w:type="dxa"/>
        <w:tblLayout w:type="fixed"/>
        <w:tblCellMar>
          <w:top w:w="15" w:type="dxa"/>
          <w:left w:w="15" w:type="dxa"/>
          <w:bottom w:w="15" w:type="dxa"/>
          <w:right w:w="15" w:type="dxa"/>
        </w:tblCellMar>
        <w:tblLook w:val="04A0" w:firstRow="1" w:lastRow="0" w:firstColumn="1" w:lastColumn="0" w:noHBand="0" w:noVBand="1"/>
      </w:tblPr>
      <w:tblGrid>
        <w:gridCol w:w="410"/>
        <w:gridCol w:w="640"/>
        <w:gridCol w:w="660"/>
        <w:gridCol w:w="6590"/>
        <w:gridCol w:w="390"/>
        <w:gridCol w:w="340"/>
        <w:gridCol w:w="320"/>
      </w:tblGrid>
      <w:tr w:rsidR="00432663">
        <w:trPr>
          <w:trHeight w:val="1035"/>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序号</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w:t>
            </w:r>
            <w:r>
              <w:rPr>
                <w:rFonts w:ascii="宋体" w:eastAsia="宋体" w:hAnsi="宋体" w:cs="宋体"/>
                <w:b/>
                <w:color w:val="000000"/>
                <w:kern w:val="0"/>
                <w:sz w:val="22"/>
                <w:lang w:bidi="ar"/>
              </w:rPr>
              <w:br/>
            </w:r>
            <w:r>
              <w:rPr>
                <w:rFonts w:ascii="宋体" w:eastAsia="宋体" w:hAnsi="宋体" w:cs="宋体"/>
                <w:b/>
                <w:color w:val="000000"/>
                <w:kern w:val="0"/>
                <w:sz w:val="22"/>
                <w:lang w:bidi="ar"/>
              </w:rPr>
              <w:t>方向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评定内容</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评分要求</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应得分</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实得分</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备注</w:t>
            </w:r>
          </w:p>
        </w:tc>
      </w:tr>
      <w:tr w:rsidR="00432663">
        <w:trPr>
          <w:trHeight w:val="1438"/>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9</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生态</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32</w:t>
            </w:r>
            <w:r>
              <w:rPr>
                <w:rFonts w:ascii="仿宋_GB2312" w:eastAsia="仿宋_GB2312" w:hAnsi="宋体" w:cs="仿宋_GB2312"/>
                <w:color w:val="000000"/>
                <w:kern w:val="0"/>
                <w:sz w:val="16"/>
                <w:szCs w:val="16"/>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河湖自然形态</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河湖平面形态自然优美、</w:t>
            </w:r>
            <w:proofErr w:type="gramStart"/>
            <w:r>
              <w:rPr>
                <w:rFonts w:ascii="仿宋_GB2312" w:eastAsia="仿宋_GB2312" w:hAnsi="宋体" w:cs="仿宋_GB2312"/>
                <w:color w:val="000000"/>
                <w:kern w:val="0"/>
                <w:sz w:val="22"/>
                <w:lang w:bidi="ar"/>
              </w:rPr>
              <w:t>宜弯则</w:t>
            </w:r>
            <w:proofErr w:type="gramEnd"/>
            <w:r>
              <w:rPr>
                <w:rFonts w:ascii="仿宋_GB2312" w:eastAsia="仿宋_GB2312" w:hAnsi="宋体" w:cs="仿宋_GB2312"/>
                <w:color w:val="000000"/>
                <w:kern w:val="0"/>
                <w:sz w:val="22"/>
                <w:lang w:bidi="ar"/>
              </w:rPr>
              <w:t>弯；</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河湖堤岸断面形式因地制宜，断面结构及其附属设施富有变化、不单调呆板，以及不同形式断面之间过渡自然；</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河湖局部弯道、深潭、浅滩、江心洲，滩地、滩林、湿地得到有效保护或修复。符合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分，得满</w:t>
            </w:r>
            <w:r>
              <w:rPr>
                <w:rFonts w:ascii="仿宋_GB2312" w:eastAsia="仿宋_GB2312" w:hAnsi="宋体" w:cs="仿宋_GB2312"/>
                <w:color w:val="000000"/>
                <w:kern w:val="0"/>
                <w:sz w:val="22"/>
                <w:lang w:bidi="ar"/>
              </w:rPr>
              <w:t>3</w:t>
            </w:r>
            <w:r>
              <w:rPr>
                <w:rFonts w:ascii="仿宋_GB2312" w:eastAsia="仿宋_GB2312" w:hAnsi="宋体" w:cs="仿宋_GB2312"/>
                <w:color w:val="000000"/>
                <w:kern w:val="0"/>
                <w:sz w:val="22"/>
                <w:lang w:bidi="ar"/>
              </w:rPr>
              <w:t>分为止。</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82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10</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val="restart"/>
            <w:tcBorders>
              <w:top w:val="single" w:sz="4" w:space="0" w:color="000000"/>
              <w:left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生态水量</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未经审批的引水、蓄水、私自</w:t>
            </w:r>
            <w:proofErr w:type="gramStart"/>
            <w:r>
              <w:rPr>
                <w:rFonts w:ascii="仿宋_GB2312" w:eastAsia="仿宋_GB2312" w:hAnsi="宋体" w:cs="仿宋_GB2312"/>
                <w:color w:val="000000"/>
                <w:kern w:val="0"/>
                <w:sz w:val="22"/>
                <w:lang w:bidi="ar"/>
              </w:rPr>
              <w:t>截河截湖</w:t>
            </w:r>
            <w:proofErr w:type="gramEnd"/>
            <w:r>
              <w:rPr>
                <w:rFonts w:ascii="仿宋_GB2312" w:eastAsia="仿宋_GB2312" w:hAnsi="宋体" w:cs="仿宋_GB2312"/>
                <w:color w:val="000000"/>
                <w:kern w:val="0"/>
                <w:sz w:val="22"/>
                <w:lang w:bidi="ar"/>
              </w:rPr>
              <w:t>取水等行为，发现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起扣</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分，累计扣满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92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11</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排水口、排污口未按要求建立台账，发现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处扣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分，扣满</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分为止。如没有排水口、排污口，能够提供佐证文件的，不扣分。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13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12</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有水电站或其他拦河拦湖建筑物的河湖，未按要求设置泄放设施或未按相关规定泄放生态流量的，发现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处扣</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分。对于没有水电站或上述建筑物的河湖，符合“自然主导、生态优先”原则的，得</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89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13</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生态治理效果</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proofErr w:type="gramStart"/>
            <w:r>
              <w:rPr>
                <w:rFonts w:ascii="仿宋_GB2312" w:eastAsia="仿宋_GB2312" w:hAnsi="宋体" w:cs="仿宋_GB2312"/>
                <w:color w:val="000000"/>
                <w:kern w:val="0"/>
                <w:sz w:val="22"/>
                <w:lang w:bidi="ar"/>
              </w:rPr>
              <w:t>控源截污</w:t>
            </w:r>
            <w:proofErr w:type="gramEnd"/>
            <w:r>
              <w:rPr>
                <w:rFonts w:ascii="仿宋_GB2312" w:eastAsia="仿宋_GB2312" w:hAnsi="宋体" w:cs="仿宋_GB2312"/>
                <w:color w:val="000000"/>
                <w:kern w:val="0"/>
                <w:sz w:val="22"/>
                <w:lang w:bidi="ar"/>
              </w:rPr>
              <w:t>、原位修复、生态清淤、增强水动力等综合生态治理措施，有效采用</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91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14</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河湖堤岸、堰坝、水闸等水工建筑物结构型式、建筑材料、施工方法等在保障防洪安全的基础上符合生态要求，得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1235"/>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15</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生物状况</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河湖岸带植被覆盖完好；</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乔灌草、水陆植物搭配合理；</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鱼鸟等生物栖息良好；</w:t>
            </w:r>
            <w:r>
              <w:rPr>
                <w:rFonts w:ascii="黑体" w:eastAsia="黑体" w:hAnsi="宋体" w:cs="黑体"/>
                <w:color w:val="000000"/>
                <w:kern w:val="0"/>
                <w:sz w:val="22"/>
                <w:lang w:bidi="ar"/>
              </w:rPr>
              <w:t>四是</w:t>
            </w:r>
            <w:r>
              <w:rPr>
                <w:rFonts w:ascii="仿宋_GB2312" w:eastAsia="仿宋_GB2312" w:hAnsi="宋体" w:cs="仿宋_GB2312"/>
                <w:color w:val="000000"/>
                <w:kern w:val="0"/>
                <w:sz w:val="22"/>
                <w:lang w:bidi="ar"/>
              </w:rPr>
              <w:t>历史特征生物生存良好。符合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分为止。</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544"/>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16</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注重生物群落的多样性与生境多样性相统一，得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分；否则不得分。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554"/>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17</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预留水生动物产卵空间，得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分；否则不得分。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374"/>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18</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制定河湖生态补偿措施并落实到位，得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836"/>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19</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水质达标情况</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河湖水</w:t>
            </w:r>
            <w:proofErr w:type="gramStart"/>
            <w:r>
              <w:rPr>
                <w:rFonts w:ascii="仿宋_GB2312" w:eastAsia="仿宋_GB2312" w:hAnsi="宋体" w:cs="仿宋_GB2312"/>
                <w:color w:val="000000"/>
                <w:kern w:val="0"/>
                <w:sz w:val="22"/>
                <w:lang w:bidi="ar"/>
              </w:rPr>
              <w:t>质满足</w:t>
            </w:r>
            <w:proofErr w:type="gramEnd"/>
            <w:r>
              <w:rPr>
                <w:rFonts w:ascii="仿宋_GB2312" w:eastAsia="仿宋_GB2312" w:hAnsi="宋体" w:cs="仿宋_GB2312"/>
                <w:color w:val="000000"/>
                <w:kern w:val="0"/>
                <w:sz w:val="22"/>
                <w:lang w:bidi="ar"/>
              </w:rPr>
              <w:t>水功能区水质标准且水质</w:t>
            </w:r>
            <w:r>
              <w:rPr>
                <w:rFonts w:ascii="仿宋_GB2312" w:eastAsia="仿宋_GB2312" w:hAnsi="宋体" w:cs="仿宋_GB2312"/>
                <w:color w:val="000000"/>
                <w:kern w:val="0"/>
                <w:sz w:val="22"/>
                <w:lang w:bidi="ar"/>
              </w:rPr>
              <w:t>2025</w:t>
            </w:r>
            <w:r>
              <w:rPr>
                <w:rFonts w:ascii="仿宋_GB2312" w:eastAsia="仿宋_GB2312" w:hAnsi="宋体" w:cs="仿宋_GB2312"/>
                <w:color w:val="000000"/>
                <w:kern w:val="0"/>
                <w:sz w:val="22"/>
                <w:lang w:bidi="ar"/>
              </w:rPr>
              <w:t>年前不低于</w:t>
            </w:r>
            <w:r>
              <w:rPr>
                <w:rFonts w:ascii="仿宋_GB2312" w:eastAsia="仿宋_GB2312" w:hAnsi="宋体" w:cs="仿宋_GB2312"/>
                <w:color w:val="000000"/>
                <w:kern w:val="0"/>
                <w:sz w:val="22"/>
                <w:lang w:bidi="ar"/>
              </w:rPr>
              <w:t>IV</w:t>
            </w:r>
            <w:r>
              <w:rPr>
                <w:rFonts w:ascii="仿宋_GB2312" w:eastAsia="仿宋_GB2312" w:hAnsi="宋体" w:cs="仿宋_GB2312"/>
                <w:color w:val="000000"/>
                <w:kern w:val="0"/>
                <w:sz w:val="22"/>
                <w:lang w:bidi="ar"/>
              </w:rPr>
              <w:t>类，</w:t>
            </w:r>
            <w:r>
              <w:rPr>
                <w:rFonts w:ascii="仿宋_GB2312" w:eastAsia="仿宋_GB2312" w:hAnsi="宋体" w:cs="仿宋_GB2312"/>
                <w:color w:val="000000"/>
                <w:kern w:val="0"/>
                <w:sz w:val="22"/>
                <w:lang w:bidi="ar"/>
              </w:rPr>
              <w:t>2025</w:t>
            </w:r>
            <w:r>
              <w:rPr>
                <w:rFonts w:ascii="仿宋_GB2312" w:eastAsia="仿宋_GB2312" w:hAnsi="宋体" w:cs="仿宋_GB2312"/>
                <w:color w:val="000000"/>
                <w:kern w:val="0"/>
                <w:sz w:val="22"/>
                <w:lang w:bidi="ar"/>
              </w:rPr>
              <w:t>年后不低于Ⅲ类，得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bl>
    <w:p w:rsidR="00432663" w:rsidRDefault="001D5F63">
      <w:pPr>
        <w:jc w:val="center"/>
        <w:rPr>
          <w:rFonts w:ascii="方正小标宋简体" w:eastAsia="方正小标宋简体" w:hAnsi="方正小标宋简体" w:hint="default"/>
          <w:sz w:val="36"/>
          <w:szCs w:val="36"/>
        </w:rPr>
      </w:pPr>
      <w:r>
        <w:rPr>
          <w:rFonts w:ascii="方正小标宋简体" w:eastAsia="方正小标宋简体" w:hAnsi="方正小标宋简体"/>
          <w:sz w:val="36"/>
          <w:szCs w:val="36"/>
        </w:rPr>
        <w:lastRenderedPageBreak/>
        <w:t>吉林省美丽河湖评定赋分表</w:t>
      </w:r>
    </w:p>
    <w:tbl>
      <w:tblPr>
        <w:tblW w:w="9340" w:type="dxa"/>
        <w:tblInd w:w="-228" w:type="dxa"/>
        <w:tblLayout w:type="fixed"/>
        <w:tblCellMar>
          <w:top w:w="15" w:type="dxa"/>
          <w:left w:w="15" w:type="dxa"/>
          <w:bottom w:w="15" w:type="dxa"/>
          <w:right w:w="15" w:type="dxa"/>
        </w:tblCellMar>
        <w:tblLook w:val="04A0" w:firstRow="1" w:lastRow="0" w:firstColumn="1" w:lastColumn="0" w:noHBand="0" w:noVBand="1"/>
      </w:tblPr>
      <w:tblGrid>
        <w:gridCol w:w="400"/>
        <w:gridCol w:w="640"/>
        <w:gridCol w:w="650"/>
        <w:gridCol w:w="6590"/>
        <w:gridCol w:w="400"/>
        <w:gridCol w:w="340"/>
        <w:gridCol w:w="320"/>
      </w:tblGrid>
      <w:tr w:rsidR="00432663">
        <w:trPr>
          <w:trHeight w:val="103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序号</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w:t>
            </w:r>
            <w:r>
              <w:rPr>
                <w:rFonts w:ascii="宋体" w:eastAsia="宋体" w:hAnsi="宋体" w:cs="宋体"/>
                <w:b/>
                <w:color w:val="000000"/>
                <w:kern w:val="0"/>
                <w:sz w:val="22"/>
                <w:lang w:bidi="ar"/>
              </w:rPr>
              <w:br/>
            </w:r>
            <w:r>
              <w:rPr>
                <w:rFonts w:ascii="宋体" w:eastAsia="宋体" w:hAnsi="宋体" w:cs="宋体"/>
                <w:b/>
                <w:color w:val="000000"/>
                <w:kern w:val="0"/>
                <w:sz w:val="22"/>
                <w:lang w:bidi="ar"/>
              </w:rPr>
              <w:t>方向</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评定内容</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评分要求</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应得分</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实得分</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备注</w:t>
            </w:r>
          </w:p>
        </w:tc>
      </w:tr>
      <w:tr w:rsidR="00432663">
        <w:trPr>
          <w:trHeight w:val="116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20</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生态</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32</w:t>
            </w:r>
            <w:r>
              <w:rPr>
                <w:rFonts w:ascii="仿宋_GB2312" w:eastAsia="仿宋_GB2312" w:hAnsi="宋体" w:cs="仿宋_GB2312"/>
                <w:color w:val="000000"/>
                <w:kern w:val="0"/>
                <w:sz w:val="16"/>
                <w:szCs w:val="16"/>
                <w:lang w:bidi="ar"/>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河湖生态改造措施</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采取人工营造水源涵养林、水土保持林或人工促进河湖植被恢复等生态化改造措施，辅助河湖生态系统最大限度发挥自我修复功能，采取</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项措施得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分，未采取不得分。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128"/>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21</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生物友好设施设置</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使用具有污染物处理能力的新结构新材料新工艺；</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工程根据需要设有生物友好设施。符合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44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22</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景美</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23</w:t>
            </w:r>
            <w:r>
              <w:rPr>
                <w:rFonts w:ascii="仿宋_GB2312" w:eastAsia="仿宋_GB2312" w:hAnsi="宋体" w:cs="仿宋_GB2312"/>
                <w:color w:val="000000"/>
                <w:kern w:val="0"/>
                <w:sz w:val="16"/>
                <w:szCs w:val="16"/>
                <w:lang w:bidi="ar"/>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河湖景观</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涉河湖的防洪工程、生态治理工程、城市景观绿化等工程项目应系统规划，形成风格；</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项目改造保留河湖沿岸现有优美自然景观，</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新建人工景观确有需要、不造作且符合河湖实际及美观性、经济性要求。符合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3</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202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23</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水文化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挖掘</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展示</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河湖水工程文化、治水文化、流域文化以及结合河湖特色定位的创造类水文化的挖掘提炼情况；</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河湖及其沿岸历史文化古迹的价值大小（古迹级别）及保存状况；</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通过石、墙、雕塑、碑、亭、馆等进行传统文化、水文化展示传承；</w:t>
            </w:r>
            <w:r>
              <w:rPr>
                <w:rFonts w:ascii="黑体" w:eastAsia="黑体" w:hAnsi="宋体" w:cs="黑体"/>
                <w:color w:val="000000"/>
                <w:kern w:val="0"/>
                <w:sz w:val="22"/>
                <w:lang w:bidi="ar"/>
              </w:rPr>
              <w:t>四是</w:t>
            </w:r>
            <w:r>
              <w:rPr>
                <w:rFonts w:ascii="仿宋_GB2312" w:eastAsia="仿宋_GB2312" w:hAnsi="宋体" w:cs="仿宋_GB2312"/>
                <w:color w:val="000000"/>
                <w:kern w:val="0"/>
                <w:sz w:val="22"/>
                <w:lang w:bidi="ar"/>
              </w:rPr>
              <w:t>依托河湖水文化建设开展国民水情教育，建设水情教育基地。符合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154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24</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亲水设施布设情况</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沿岸有滨水步道、亲水平台、人行便桥、景观长廊、健身设施等；</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遮风避雨设施、照明装备、水站、公厕、垃圾桶、停车场、进出口的设置情况及其适宜性、完备性和协调性。以上共</w:t>
            </w:r>
            <w:r>
              <w:rPr>
                <w:rFonts w:ascii="仿宋_GB2312" w:eastAsia="仿宋_GB2312" w:hAnsi="宋体" w:cs="仿宋_GB2312"/>
                <w:color w:val="000000"/>
                <w:kern w:val="0"/>
                <w:sz w:val="22"/>
                <w:lang w:bidi="ar"/>
              </w:rPr>
              <w:t>12</w:t>
            </w:r>
            <w:r>
              <w:rPr>
                <w:rFonts w:ascii="仿宋_GB2312" w:eastAsia="仿宋_GB2312" w:hAnsi="宋体" w:cs="仿宋_GB2312"/>
                <w:color w:val="000000"/>
                <w:kern w:val="0"/>
                <w:sz w:val="22"/>
                <w:lang w:bidi="ar"/>
              </w:rPr>
              <w:t>小项，缺少</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分，累计扣满</w:t>
            </w:r>
            <w:r>
              <w:rPr>
                <w:rFonts w:ascii="仿宋_GB2312" w:eastAsia="仿宋_GB2312" w:hAnsi="宋体" w:cs="仿宋_GB2312"/>
                <w:color w:val="000000"/>
                <w:kern w:val="0"/>
                <w:sz w:val="22"/>
                <w:lang w:bidi="ar"/>
              </w:rPr>
              <w:t>6</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338"/>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25</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河湖水体表</w:t>
            </w:r>
            <w:proofErr w:type="gramStart"/>
            <w:r>
              <w:rPr>
                <w:rFonts w:ascii="仿宋_GB2312" w:eastAsia="仿宋_GB2312" w:hAnsi="宋体" w:cs="仿宋_GB2312"/>
                <w:color w:val="000000"/>
                <w:kern w:val="0"/>
                <w:sz w:val="22"/>
                <w:lang w:bidi="ar"/>
              </w:rPr>
              <w:t>观状况</w:t>
            </w:r>
            <w:proofErr w:type="gramEnd"/>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水面及岸坡，存在废弃物、漂浮物（生活垃圾、油污、死鱼、规模性水葫芦、蓝藻等），发现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起扣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分（与前述“四乱”问题不重复扣分），累计扣满</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518"/>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26</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安全警示设置情况</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在重要位置和人群活动密集区，设置警示标志标识和安全设施，出现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处未设置的，扣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分，累计扣满</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bl>
    <w:p w:rsidR="00432663" w:rsidRDefault="001D5F63">
      <w:pPr>
        <w:jc w:val="center"/>
        <w:rPr>
          <w:rFonts w:ascii="方正小标宋简体" w:eastAsia="方正小标宋简体" w:hAnsi="方正小标宋简体" w:hint="default"/>
          <w:sz w:val="36"/>
          <w:szCs w:val="36"/>
        </w:rPr>
      </w:pPr>
      <w:r>
        <w:rPr>
          <w:rFonts w:ascii="方正小标宋简体" w:eastAsia="方正小标宋简体" w:hAnsi="方正小标宋简体"/>
          <w:sz w:val="36"/>
          <w:szCs w:val="36"/>
        </w:rPr>
        <w:lastRenderedPageBreak/>
        <w:t>吉林省美丽河湖评定赋分表</w:t>
      </w:r>
    </w:p>
    <w:tbl>
      <w:tblPr>
        <w:tblW w:w="9340" w:type="dxa"/>
        <w:tblInd w:w="-228" w:type="dxa"/>
        <w:tblLayout w:type="fixed"/>
        <w:tblCellMar>
          <w:top w:w="15" w:type="dxa"/>
          <w:left w:w="15" w:type="dxa"/>
          <w:bottom w:w="15" w:type="dxa"/>
          <w:right w:w="15" w:type="dxa"/>
        </w:tblCellMar>
        <w:tblLook w:val="04A0" w:firstRow="1" w:lastRow="0" w:firstColumn="1" w:lastColumn="0" w:noHBand="0" w:noVBand="1"/>
      </w:tblPr>
      <w:tblGrid>
        <w:gridCol w:w="400"/>
        <w:gridCol w:w="640"/>
        <w:gridCol w:w="650"/>
        <w:gridCol w:w="6590"/>
        <w:gridCol w:w="400"/>
        <w:gridCol w:w="340"/>
        <w:gridCol w:w="320"/>
      </w:tblGrid>
      <w:tr w:rsidR="00432663">
        <w:trPr>
          <w:trHeight w:val="1196"/>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序号</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w:t>
            </w:r>
            <w:r>
              <w:rPr>
                <w:rFonts w:ascii="宋体" w:eastAsia="宋体" w:hAnsi="宋体" w:cs="宋体"/>
                <w:b/>
                <w:color w:val="000000"/>
                <w:kern w:val="0"/>
                <w:sz w:val="22"/>
                <w:lang w:bidi="ar"/>
              </w:rPr>
              <w:br/>
            </w:r>
            <w:r>
              <w:rPr>
                <w:rFonts w:ascii="宋体" w:eastAsia="宋体" w:hAnsi="宋体" w:cs="宋体"/>
                <w:b/>
                <w:color w:val="000000"/>
                <w:kern w:val="0"/>
                <w:sz w:val="22"/>
                <w:lang w:bidi="ar"/>
              </w:rPr>
              <w:t>方向</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评定内容</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评分要求</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应得分</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实得分</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备注</w:t>
            </w:r>
          </w:p>
        </w:tc>
      </w:tr>
      <w:tr w:rsidR="00432663">
        <w:trPr>
          <w:trHeight w:val="120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27</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景美</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23</w:t>
            </w:r>
            <w:r>
              <w:rPr>
                <w:rFonts w:ascii="仿宋_GB2312" w:eastAsia="仿宋_GB2312" w:hAnsi="宋体" w:cs="仿宋_GB2312"/>
                <w:color w:val="000000"/>
                <w:kern w:val="0"/>
                <w:sz w:val="16"/>
                <w:szCs w:val="16"/>
                <w:lang w:bidi="ar"/>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特色鲜明</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突出河湖特色定位，以问题和需求为导向，科学合理、因河施策地采取治理措施，形成自身特色，河湖功能得到鲜明体现的，得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121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28</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人水和谐</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河湖的防洪工程、生态治理工程、城市景观绿化等工程项目遵循“人水和谐”的理念进行系统规划，依照山水林田湖草统筹治理，得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125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29</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宣传报道</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在官方网站、主流媒体以及知名机构宣传河湖景象、旅游元素，按宣传载体级别得分（县区级</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次得</w:t>
            </w:r>
            <w:r>
              <w:rPr>
                <w:rFonts w:ascii="仿宋_GB2312" w:eastAsia="仿宋_GB2312" w:hAnsi="宋体" w:cs="仿宋_GB2312"/>
                <w:color w:val="000000"/>
                <w:kern w:val="0"/>
                <w:sz w:val="22"/>
                <w:lang w:bidi="ar"/>
              </w:rPr>
              <w:t>0.1</w:t>
            </w:r>
            <w:r>
              <w:rPr>
                <w:rFonts w:ascii="仿宋_GB2312" w:eastAsia="仿宋_GB2312" w:hAnsi="宋体" w:cs="仿宋_GB2312"/>
                <w:color w:val="000000"/>
                <w:kern w:val="0"/>
                <w:sz w:val="22"/>
                <w:lang w:bidi="ar"/>
              </w:rPr>
              <w:t>分，市级</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次得</w:t>
            </w:r>
            <w:r>
              <w:rPr>
                <w:rFonts w:ascii="仿宋_GB2312" w:eastAsia="仿宋_GB2312" w:hAnsi="宋体" w:cs="仿宋_GB2312"/>
                <w:color w:val="000000"/>
                <w:kern w:val="0"/>
                <w:sz w:val="22"/>
                <w:lang w:bidi="ar"/>
              </w:rPr>
              <w:t>0.2</w:t>
            </w:r>
            <w:r>
              <w:rPr>
                <w:rFonts w:ascii="仿宋_GB2312" w:eastAsia="仿宋_GB2312" w:hAnsi="宋体" w:cs="仿宋_GB2312"/>
                <w:color w:val="000000"/>
                <w:kern w:val="0"/>
                <w:sz w:val="22"/>
                <w:lang w:bidi="ar"/>
              </w:rPr>
              <w:t>分，省级</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次得</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分，国家级</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次得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3</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31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30</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人民群众获得感</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河湖面貌的提升辐射带动河湖周围旅游观光、游憩休闲、健康养生、生态文明教育等产业发展，推进乡村振兴和美丽乡村建设，增强人民群众获得感，产生较强社会效应。根据满意度进行赋分。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定性</w:t>
            </w:r>
          </w:p>
        </w:tc>
      </w:tr>
      <w:tr w:rsidR="00432663">
        <w:trPr>
          <w:trHeight w:val="18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31</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智慧</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21</w:t>
            </w:r>
            <w:r>
              <w:rPr>
                <w:rFonts w:ascii="仿宋_GB2312" w:eastAsia="仿宋_GB2312" w:hAnsi="宋体" w:cs="仿宋_GB2312"/>
                <w:color w:val="000000"/>
                <w:kern w:val="0"/>
                <w:sz w:val="16"/>
                <w:szCs w:val="16"/>
                <w:lang w:bidi="ar"/>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信息化管理</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在重要水域设置视频监控、水位流量、水质监测装置；</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采用人工智能先进设备设施，加强河湖管控能力。</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应用吉林省河</w:t>
            </w:r>
            <w:proofErr w:type="gramStart"/>
            <w:r>
              <w:rPr>
                <w:rFonts w:ascii="仿宋_GB2312" w:eastAsia="仿宋_GB2312" w:hAnsi="宋体" w:cs="仿宋_GB2312"/>
                <w:color w:val="000000"/>
                <w:kern w:val="0"/>
                <w:sz w:val="22"/>
                <w:lang w:bidi="ar"/>
              </w:rPr>
              <w:t>长制湖长</w:t>
            </w:r>
            <w:proofErr w:type="gramEnd"/>
            <w:r>
              <w:rPr>
                <w:rFonts w:ascii="仿宋_GB2312" w:eastAsia="仿宋_GB2312" w:hAnsi="宋体" w:cs="仿宋_GB2312"/>
                <w:color w:val="000000"/>
                <w:kern w:val="0"/>
                <w:sz w:val="22"/>
                <w:lang w:bidi="ar"/>
              </w:rPr>
              <w:t>制信息平台并及时更新相关情况。符合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6</w:t>
            </w:r>
            <w:r>
              <w:rPr>
                <w:rFonts w:ascii="仿宋_GB2312" w:eastAsia="仿宋_GB2312" w:hAnsi="宋体" w:cs="仿宋_GB2312"/>
                <w:color w:val="000000"/>
                <w:kern w:val="0"/>
                <w:sz w:val="22"/>
                <w:lang w:bidi="ar"/>
              </w:rPr>
              <w:t>分为止。其中被通报</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次河</w:t>
            </w:r>
            <w:proofErr w:type="gramStart"/>
            <w:r>
              <w:rPr>
                <w:rFonts w:ascii="仿宋_GB2312" w:eastAsia="仿宋_GB2312" w:hAnsi="宋体" w:cs="仿宋_GB2312"/>
                <w:color w:val="000000"/>
                <w:kern w:val="0"/>
                <w:sz w:val="22"/>
                <w:lang w:bidi="ar"/>
              </w:rPr>
              <w:t>长制湖长</w:t>
            </w:r>
            <w:proofErr w:type="gramEnd"/>
            <w:r>
              <w:rPr>
                <w:rFonts w:ascii="仿宋_GB2312" w:eastAsia="仿宋_GB2312" w:hAnsi="宋体" w:cs="仿宋_GB2312"/>
                <w:color w:val="000000"/>
                <w:kern w:val="0"/>
                <w:sz w:val="22"/>
                <w:lang w:bidi="ar"/>
              </w:rPr>
              <w:t>制信息平台数据更新不及时的，扣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分，累计扣满</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07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32</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数据共享</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以吉林省河</w:t>
            </w:r>
            <w:proofErr w:type="gramStart"/>
            <w:r>
              <w:rPr>
                <w:rFonts w:ascii="仿宋_GB2312" w:eastAsia="仿宋_GB2312" w:hAnsi="宋体" w:cs="仿宋_GB2312"/>
                <w:color w:val="000000"/>
                <w:kern w:val="0"/>
                <w:sz w:val="22"/>
                <w:lang w:bidi="ar"/>
              </w:rPr>
              <w:t>长制湖长</w:t>
            </w:r>
            <w:proofErr w:type="gramEnd"/>
            <w:r>
              <w:rPr>
                <w:rFonts w:ascii="仿宋_GB2312" w:eastAsia="仿宋_GB2312" w:hAnsi="宋体" w:cs="仿宋_GB2312"/>
                <w:color w:val="000000"/>
                <w:kern w:val="0"/>
                <w:sz w:val="22"/>
                <w:lang w:bidi="ar"/>
              </w:rPr>
              <w:t>制信息平台等系统为基础，探索多单位、多部门涉河湖数据共享，能提供佐证材料的，得</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36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33</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高新技术创新举措</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采用无人机巡航、视频监控、卫星遥感、地质雷达等新技术应用，重点推进利用卫星遥感技术开展河湖监管，采用一种高新技术创新举措得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28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34</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责任落实</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明确各级河长湖长职责，巡河频率符合要求；</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河长公示牌信息及时更新，河长湖长电话畅通，能够及时处置涉河湖问题。符合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分，累计得满</w:t>
            </w:r>
            <w:r>
              <w:rPr>
                <w:rFonts w:ascii="黑体" w:eastAsia="黑体" w:hAnsi="宋体" w:cs="黑体"/>
                <w:color w:val="000000"/>
                <w:kern w:val="0"/>
                <w:sz w:val="22"/>
                <w:lang w:bidi="ar"/>
              </w:rPr>
              <w:t>1</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bl>
    <w:p w:rsidR="00432663" w:rsidRDefault="001D5F63">
      <w:pPr>
        <w:jc w:val="center"/>
        <w:rPr>
          <w:rFonts w:ascii="方正小标宋简体" w:eastAsia="方正小标宋简体" w:hAnsi="方正小标宋简体" w:hint="default"/>
          <w:sz w:val="36"/>
          <w:szCs w:val="36"/>
        </w:rPr>
      </w:pPr>
      <w:r>
        <w:rPr>
          <w:rFonts w:ascii="方正小标宋简体" w:eastAsia="方正小标宋简体" w:hAnsi="方正小标宋简体"/>
          <w:sz w:val="36"/>
          <w:szCs w:val="36"/>
        </w:rPr>
        <w:lastRenderedPageBreak/>
        <w:t>吉林省美丽河湖评定赋分表</w:t>
      </w:r>
    </w:p>
    <w:tbl>
      <w:tblPr>
        <w:tblW w:w="9350" w:type="dxa"/>
        <w:tblInd w:w="-238" w:type="dxa"/>
        <w:tblLayout w:type="fixed"/>
        <w:tblCellMar>
          <w:top w:w="15" w:type="dxa"/>
          <w:left w:w="15" w:type="dxa"/>
          <w:bottom w:w="15" w:type="dxa"/>
          <w:right w:w="15" w:type="dxa"/>
        </w:tblCellMar>
        <w:tblLook w:val="04A0" w:firstRow="1" w:lastRow="0" w:firstColumn="1" w:lastColumn="0" w:noHBand="0" w:noVBand="1"/>
      </w:tblPr>
      <w:tblGrid>
        <w:gridCol w:w="410"/>
        <w:gridCol w:w="640"/>
        <w:gridCol w:w="650"/>
        <w:gridCol w:w="6590"/>
        <w:gridCol w:w="400"/>
        <w:gridCol w:w="340"/>
        <w:gridCol w:w="320"/>
      </w:tblGrid>
      <w:tr w:rsidR="00432663">
        <w:trPr>
          <w:trHeight w:val="1085"/>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序号</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w:t>
            </w:r>
            <w:r>
              <w:rPr>
                <w:rFonts w:ascii="宋体" w:eastAsia="宋体" w:hAnsi="宋体" w:cs="宋体"/>
                <w:b/>
                <w:color w:val="000000"/>
                <w:kern w:val="0"/>
                <w:sz w:val="22"/>
                <w:lang w:bidi="ar"/>
              </w:rPr>
              <w:br/>
            </w:r>
            <w:r>
              <w:rPr>
                <w:rFonts w:ascii="宋体" w:eastAsia="宋体" w:hAnsi="宋体" w:cs="宋体"/>
                <w:b/>
                <w:color w:val="000000"/>
                <w:kern w:val="0"/>
                <w:sz w:val="22"/>
                <w:lang w:bidi="ar"/>
              </w:rPr>
              <w:t>方向</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评定内容</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评分要求</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应得分</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实得分</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宋体" w:eastAsia="宋体" w:hAnsi="宋体" w:cs="宋体" w:hint="default"/>
                <w:b/>
                <w:color w:val="000000"/>
                <w:sz w:val="22"/>
              </w:rPr>
            </w:pPr>
            <w:r>
              <w:rPr>
                <w:rFonts w:ascii="宋体" w:eastAsia="宋体" w:hAnsi="宋体" w:cs="宋体"/>
                <w:b/>
                <w:color w:val="000000"/>
                <w:kern w:val="0"/>
                <w:sz w:val="22"/>
                <w:lang w:bidi="ar"/>
              </w:rPr>
              <w:t>备注</w:t>
            </w:r>
          </w:p>
        </w:tc>
      </w:tr>
      <w:tr w:rsidR="00432663">
        <w:trPr>
          <w:trHeight w:val="127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35</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智慧</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t>河湖</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16"/>
                <w:szCs w:val="16"/>
                <w:lang w:bidi="ar"/>
              </w:rPr>
              <w:t>（</w:t>
            </w:r>
            <w:r>
              <w:rPr>
                <w:rFonts w:ascii="仿宋_GB2312" w:eastAsia="仿宋_GB2312" w:hAnsi="宋体" w:cs="仿宋_GB2312"/>
                <w:color w:val="000000"/>
                <w:kern w:val="0"/>
                <w:sz w:val="16"/>
                <w:szCs w:val="16"/>
                <w:lang w:bidi="ar"/>
              </w:rPr>
              <w:t>21</w:t>
            </w:r>
            <w:r>
              <w:rPr>
                <w:rFonts w:ascii="仿宋_GB2312" w:eastAsia="仿宋_GB2312" w:hAnsi="宋体" w:cs="仿宋_GB2312"/>
                <w:color w:val="000000"/>
                <w:kern w:val="0"/>
                <w:sz w:val="16"/>
                <w:szCs w:val="16"/>
                <w:lang w:bidi="ar"/>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管理机构设置合理</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河湖管理机构或责任主体及其职责分工明确的；</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管护、执法、保洁队伍落实到位。符合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分为止；否则不得分。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30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36</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基础档案高效实施</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“一河（湖）一档”全面编制完成；</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以县域（流域）为单元的河湖综合治理保护已经开展；</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在河湖重要位置建立连续水质监测数据档案。符合</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项得</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分，累计得满</w:t>
            </w:r>
            <w:r>
              <w:rPr>
                <w:rFonts w:ascii="仿宋_GB2312" w:eastAsia="仿宋_GB2312" w:hAnsi="宋体" w:cs="仿宋_GB2312"/>
                <w:color w:val="000000"/>
                <w:kern w:val="0"/>
                <w:sz w:val="22"/>
                <w:lang w:bidi="ar"/>
              </w:rPr>
              <w:t>1.5</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14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37</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管护设施先进</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黑体" w:eastAsia="黑体" w:hAnsi="宋体" w:cs="黑体" w:hint="default"/>
                <w:color w:val="000000"/>
                <w:sz w:val="22"/>
              </w:rPr>
            </w:pPr>
            <w:r>
              <w:rPr>
                <w:rFonts w:ascii="黑体" w:eastAsia="黑体" w:hAnsi="宋体" w:cs="黑体"/>
                <w:color w:val="000000"/>
                <w:kern w:val="0"/>
                <w:sz w:val="22"/>
                <w:lang w:bidi="ar"/>
              </w:rPr>
              <w:t>一是</w:t>
            </w:r>
            <w:r>
              <w:rPr>
                <w:rFonts w:ascii="仿宋_GB2312" w:eastAsia="仿宋_GB2312" w:hAnsi="宋体" w:cs="仿宋_GB2312"/>
                <w:color w:val="000000"/>
                <w:kern w:val="0"/>
                <w:sz w:val="22"/>
                <w:lang w:bidi="ar"/>
              </w:rPr>
              <w:t>沿河沿湖定界设施及标识标牌清晰；</w:t>
            </w:r>
            <w:r>
              <w:rPr>
                <w:rFonts w:ascii="黑体" w:eastAsia="黑体" w:hAnsi="宋体" w:cs="黑体"/>
                <w:color w:val="000000"/>
                <w:kern w:val="0"/>
                <w:sz w:val="22"/>
                <w:lang w:bidi="ar"/>
              </w:rPr>
              <w:t>二是</w:t>
            </w:r>
            <w:r>
              <w:rPr>
                <w:rFonts w:ascii="仿宋_GB2312" w:eastAsia="仿宋_GB2312" w:hAnsi="宋体" w:cs="仿宋_GB2312"/>
                <w:color w:val="000000"/>
                <w:kern w:val="0"/>
                <w:sz w:val="22"/>
                <w:lang w:bidi="ar"/>
              </w:rPr>
              <w:t>防汛巡查管护通道畅通；</w:t>
            </w:r>
            <w:r>
              <w:rPr>
                <w:rFonts w:ascii="黑体" w:eastAsia="黑体" w:hAnsi="宋体" w:cs="黑体"/>
                <w:color w:val="000000"/>
                <w:kern w:val="0"/>
                <w:sz w:val="22"/>
                <w:lang w:bidi="ar"/>
              </w:rPr>
              <w:t>三是</w:t>
            </w:r>
            <w:r>
              <w:rPr>
                <w:rFonts w:ascii="仿宋_GB2312" w:eastAsia="仿宋_GB2312" w:hAnsi="宋体" w:cs="仿宋_GB2312"/>
                <w:color w:val="000000"/>
                <w:kern w:val="0"/>
                <w:sz w:val="22"/>
                <w:lang w:bidi="ar"/>
              </w:rPr>
              <w:t>防汛抢险物资堆放管理场地、管理用房规范科学；</w:t>
            </w:r>
            <w:r>
              <w:rPr>
                <w:rFonts w:ascii="黑体" w:eastAsia="黑体" w:hAnsi="宋体" w:cs="黑体"/>
                <w:color w:val="000000"/>
                <w:kern w:val="0"/>
                <w:sz w:val="22"/>
                <w:lang w:bidi="ar"/>
              </w:rPr>
              <w:t>四是</w:t>
            </w:r>
            <w:r>
              <w:rPr>
                <w:rFonts w:ascii="仿宋_GB2312" w:eastAsia="仿宋_GB2312" w:hAnsi="宋体" w:cs="仿宋_GB2312"/>
                <w:color w:val="000000"/>
                <w:kern w:val="0"/>
                <w:sz w:val="22"/>
                <w:lang w:bidi="ar"/>
              </w:rPr>
              <w:t>其他管护设施安全可靠。发现</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处缺项，扣</w:t>
            </w:r>
            <w:r>
              <w:rPr>
                <w:rFonts w:ascii="仿宋_GB2312" w:eastAsia="仿宋_GB2312" w:hAnsi="宋体" w:cs="仿宋_GB2312"/>
                <w:color w:val="000000"/>
                <w:kern w:val="0"/>
                <w:sz w:val="22"/>
                <w:lang w:bidi="ar"/>
              </w:rPr>
              <w:t>0.5</w:t>
            </w:r>
            <w:r>
              <w:rPr>
                <w:rFonts w:ascii="仿宋_GB2312" w:eastAsia="仿宋_GB2312" w:hAnsi="宋体" w:cs="仿宋_GB2312"/>
                <w:color w:val="000000"/>
                <w:kern w:val="0"/>
                <w:sz w:val="22"/>
                <w:lang w:bidi="ar"/>
              </w:rPr>
              <w:t>分，累计扣满</w:t>
            </w:r>
            <w:r>
              <w:rPr>
                <w:rFonts w:ascii="仿宋_GB2312" w:eastAsia="仿宋_GB2312" w:hAnsi="宋体" w:cs="仿宋_GB2312"/>
                <w:color w:val="000000"/>
                <w:kern w:val="0"/>
                <w:sz w:val="22"/>
                <w:lang w:bidi="ar"/>
              </w:rPr>
              <w:t>2</w:t>
            </w:r>
            <w:r>
              <w:rPr>
                <w:rFonts w:ascii="仿宋_GB2312" w:eastAsia="仿宋_GB2312" w:hAnsi="宋体" w:cs="仿宋_GB2312"/>
                <w:color w:val="000000"/>
                <w:kern w:val="0"/>
                <w:sz w:val="22"/>
                <w:lang w:bidi="ar"/>
              </w:rPr>
              <w:t>分为止。</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1020"/>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38</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管护机制科学</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日常保洁、水行政执法、专项检查等河湖科学管护机制建立并落实到位，得</w:t>
            </w:r>
            <w:r>
              <w:rPr>
                <w:rFonts w:ascii="仿宋_GB2312" w:eastAsia="仿宋_GB2312" w:hAnsi="宋体" w:cs="仿宋_GB2312"/>
                <w:color w:val="000000"/>
                <w:kern w:val="0"/>
                <w:sz w:val="22"/>
                <w:lang w:bidi="ar"/>
              </w:rPr>
              <w:t>1</w:t>
            </w:r>
            <w:r>
              <w:rPr>
                <w:rFonts w:ascii="仿宋_GB2312" w:eastAsia="仿宋_GB2312" w:hAnsi="宋体" w:cs="仿宋_GB2312"/>
                <w:color w:val="000000"/>
                <w:kern w:val="0"/>
                <w:sz w:val="22"/>
                <w:lang w:bidi="ar"/>
              </w:rPr>
              <w:t>分</w:t>
            </w:r>
            <w:r>
              <w:rPr>
                <w:rFonts w:ascii="黑体" w:eastAsia="黑体" w:hAnsi="宋体" w:cs="黑体"/>
                <w:color w:val="000000"/>
                <w:kern w:val="0"/>
                <w:sz w:val="22"/>
                <w:lang w:bidi="ar"/>
              </w:rPr>
              <w:t>；</w:t>
            </w:r>
            <w:r>
              <w:rPr>
                <w:rFonts w:ascii="仿宋_GB2312" w:eastAsia="仿宋_GB2312" w:hAnsi="宋体" w:cs="仿宋_GB2312"/>
                <w:color w:val="000000"/>
                <w:kern w:val="0"/>
                <w:sz w:val="22"/>
                <w:lang w:bidi="ar"/>
              </w:rPr>
              <w:t>否则不得分。</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color w:val="000000"/>
                <w:sz w:val="22"/>
              </w:rPr>
            </w:pPr>
            <w:r>
              <w:rPr>
                <w:rFonts w:ascii="仿宋_GB2312" w:eastAsia="仿宋_GB2312" w:hAnsi="宋体" w:cs="仿宋_GB2312"/>
                <w:color w:val="000000"/>
                <w:kern w:val="0"/>
                <w:sz w:val="22"/>
                <w:lang w:bidi="ar"/>
              </w:rPr>
              <w:t>定量</w:t>
            </w:r>
          </w:p>
        </w:tc>
      </w:tr>
      <w:tr w:rsidR="00432663">
        <w:trPr>
          <w:trHeight w:val="525"/>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432663">
            <w:pPr>
              <w:jc w:val="center"/>
              <w:rPr>
                <w:rFonts w:ascii="仿宋_GB2312" w:eastAsia="仿宋_GB2312" w:hAnsi="宋体" w:cs="仿宋_GB2312" w:hint="default"/>
                <w:color w:val="000000"/>
                <w:sz w:val="22"/>
              </w:rPr>
            </w:pPr>
          </w:p>
        </w:tc>
        <w:tc>
          <w:tcPr>
            <w:tcW w:w="7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黑体" w:eastAsia="黑体" w:hAnsi="宋体" w:cs="黑体" w:hint="default"/>
                <w:color w:val="000000"/>
                <w:sz w:val="22"/>
              </w:rPr>
            </w:pPr>
            <w:r>
              <w:rPr>
                <w:rFonts w:ascii="黑体" w:eastAsia="黑体" w:hAnsi="宋体" w:cs="黑体"/>
                <w:color w:val="000000"/>
                <w:kern w:val="0"/>
                <w:sz w:val="22"/>
                <w:lang w:bidi="ar"/>
              </w:rPr>
              <w:t>合</w:t>
            </w:r>
            <w:r>
              <w:rPr>
                <w:rFonts w:ascii="黑体" w:eastAsia="黑体" w:hAnsi="宋体" w:cs="黑体"/>
                <w:color w:val="000000"/>
                <w:kern w:val="0"/>
                <w:sz w:val="22"/>
                <w:lang w:bidi="ar"/>
              </w:rPr>
              <w:t xml:space="preserve">  </w:t>
            </w:r>
            <w:r>
              <w:rPr>
                <w:rFonts w:ascii="黑体" w:eastAsia="黑体" w:hAnsi="宋体" w:cs="黑体"/>
                <w:color w:val="000000"/>
                <w:kern w:val="0"/>
                <w:sz w:val="22"/>
                <w:lang w:bidi="ar"/>
              </w:rPr>
              <w:t>计</w:t>
            </w:r>
          </w:p>
        </w:tc>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663" w:rsidRDefault="001D5F63">
            <w:pPr>
              <w:widowControl/>
              <w:jc w:val="center"/>
              <w:textAlignment w:val="center"/>
              <w:rPr>
                <w:rFonts w:ascii="仿宋_GB2312" w:eastAsia="仿宋_GB2312" w:hAnsi="宋体" w:cs="仿宋_GB2312" w:hint="default"/>
                <w:b/>
                <w:color w:val="000000"/>
                <w:sz w:val="22"/>
              </w:rPr>
            </w:pPr>
            <w:r>
              <w:rPr>
                <w:rFonts w:ascii="仿宋_GB2312" w:eastAsia="仿宋_GB2312" w:hAnsi="宋体" w:cs="仿宋_GB2312"/>
                <w:b/>
                <w:color w:val="000000"/>
                <w:kern w:val="0"/>
                <w:sz w:val="22"/>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432663" w:rsidRDefault="00432663">
            <w:pPr>
              <w:jc w:val="center"/>
              <w:rPr>
                <w:rFonts w:ascii="仿宋_GB2312" w:eastAsia="仿宋_GB2312" w:hAnsi="宋体" w:cs="仿宋_GB2312" w:hint="default"/>
                <w:color w:val="000000"/>
                <w:sz w:val="22"/>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Pr>
          <w:p w:rsidR="00432663" w:rsidRDefault="00432663">
            <w:pPr>
              <w:jc w:val="center"/>
              <w:rPr>
                <w:rFonts w:ascii="仿宋_GB2312" w:eastAsia="仿宋_GB2312" w:hAnsi="宋体" w:cs="仿宋_GB2312" w:hint="default"/>
                <w:color w:val="000000"/>
                <w:sz w:val="22"/>
              </w:rPr>
            </w:pPr>
          </w:p>
        </w:tc>
      </w:tr>
    </w:tbl>
    <w:p w:rsidR="00432663" w:rsidRDefault="00432663">
      <w:pPr>
        <w:jc w:val="center"/>
        <w:rPr>
          <w:rFonts w:ascii="方正小标宋简体" w:eastAsia="方正小标宋简体" w:hAnsi="方正小标宋简体" w:hint="default"/>
          <w:sz w:val="36"/>
          <w:szCs w:val="36"/>
        </w:rPr>
      </w:pPr>
    </w:p>
    <w:p w:rsidR="00432663" w:rsidRDefault="00432663">
      <w:pPr>
        <w:rPr>
          <w:rFonts w:ascii="方正小标宋简体" w:eastAsia="方正小标宋简体" w:hAnsi="方正小标宋简体" w:hint="default"/>
          <w:sz w:val="36"/>
          <w:szCs w:val="36"/>
        </w:rPr>
      </w:pPr>
    </w:p>
    <w:p w:rsidR="00432663" w:rsidRDefault="00432663">
      <w:pPr>
        <w:jc w:val="center"/>
        <w:rPr>
          <w:rFonts w:ascii="方正小标宋简体" w:eastAsia="方正小标宋简体" w:hAnsi="方正小标宋简体" w:hint="default"/>
          <w:sz w:val="32"/>
          <w:szCs w:val="32"/>
        </w:rPr>
      </w:pPr>
    </w:p>
    <w:p w:rsidR="00432663" w:rsidRDefault="00432663">
      <w:pPr>
        <w:jc w:val="center"/>
        <w:rPr>
          <w:rFonts w:hint="default"/>
        </w:rPr>
      </w:pPr>
    </w:p>
    <w:p w:rsidR="00432663" w:rsidRDefault="00432663">
      <w:pPr>
        <w:jc w:val="center"/>
        <w:rPr>
          <w:rFonts w:hint="default"/>
        </w:rPr>
      </w:pPr>
    </w:p>
    <w:p w:rsidR="00432663" w:rsidRDefault="00432663">
      <w:pPr>
        <w:jc w:val="center"/>
        <w:rPr>
          <w:rFonts w:hint="default"/>
        </w:rPr>
      </w:pPr>
    </w:p>
    <w:p w:rsidR="00432663" w:rsidRDefault="00432663">
      <w:pPr>
        <w:rPr>
          <w:rFonts w:hint="default"/>
        </w:rPr>
      </w:pPr>
    </w:p>
    <w:p w:rsidR="00432663" w:rsidRDefault="00432663">
      <w:pPr>
        <w:jc w:val="center"/>
        <w:rPr>
          <w:rFonts w:hint="default"/>
        </w:rPr>
      </w:pPr>
    </w:p>
    <w:p w:rsidR="00432663" w:rsidRDefault="00432663">
      <w:pPr>
        <w:jc w:val="center"/>
        <w:rPr>
          <w:rFonts w:hint="default"/>
        </w:rPr>
      </w:pPr>
    </w:p>
    <w:p w:rsidR="00432663" w:rsidRDefault="00432663">
      <w:pPr>
        <w:rPr>
          <w:rFonts w:hint="default"/>
        </w:rPr>
      </w:pPr>
    </w:p>
    <w:p w:rsidR="00432663" w:rsidRDefault="00432663">
      <w:pPr>
        <w:rPr>
          <w:rFonts w:hint="default"/>
        </w:rPr>
      </w:pPr>
    </w:p>
    <w:sectPr w:rsidR="00432663">
      <w:footerReference w:type="default" r:id="rId8"/>
      <w:pgSz w:w="11906" w:h="16838"/>
      <w:pgMar w:top="2041"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63" w:rsidRDefault="001D5F63">
      <w:pPr>
        <w:rPr>
          <w:rFonts w:hint="default"/>
        </w:rPr>
      </w:pPr>
      <w:r>
        <w:separator/>
      </w:r>
    </w:p>
  </w:endnote>
  <w:endnote w:type="continuationSeparator" w:id="0">
    <w:p w:rsidR="001D5F63" w:rsidRDefault="001D5F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63" w:rsidRDefault="001D5F63">
    <w:pPr>
      <w:pStyle w:val="a3"/>
      <w:rPr>
        <w:rFonts w:hint="default"/>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663" w:rsidRDefault="001D5F63">
                          <w:pPr>
                            <w:snapToGrid w:val="0"/>
                            <w:rPr>
                              <w:rFonts w:hint="default"/>
                              <w:sz w:val="18"/>
                            </w:rPr>
                          </w:pPr>
                          <w:r>
                            <w:rPr>
                              <w:sz w:val="18"/>
                            </w:rPr>
                            <w:fldChar w:fldCharType="begin"/>
                          </w:r>
                          <w:r>
                            <w:rPr>
                              <w:sz w:val="18"/>
                            </w:rPr>
                            <w:instrText xml:space="preserve"> PAGE  \* MERGEFORMAT </w:instrText>
                          </w:r>
                          <w:r>
                            <w:rPr>
                              <w:sz w:val="18"/>
                            </w:rPr>
                            <w:fldChar w:fldCharType="separate"/>
                          </w:r>
                          <w:r w:rsidR="009B5F7A">
                            <w:rPr>
                              <w:rFonts w:hint="default"/>
                              <w:noProof/>
                              <w:sz w:val="18"/>
                            </w:rPr>
                            <w:t>- 1 -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432663" w:rsidRDefault="001D5F63">
                    <w:pPr>
                      <w:snapToGrid w:val="0"/>
                      <w:rPr>
                        <w:rFonts w:hint="default"/>
                        <w:sz w:val="18"/>
                      </w:rPr>
                    </w:pPr>
                    <w:r>
                      <w:rPr>
                        <w:sz w:val="18"/>
                      </w:rPr>
                      <w:fldChar w:fldCharType="begin"/>
                    </w:r>
                    <w:r>
                      <w:rPr>
                        <w:sz w:val="18"/>
                      </w:rPr>
                      <w:instrText xml:space="preserve"> PAGE  \* MERGEFORMAT </w:instrText>
                    </w:r>
                    <w:r>
                      <w:rPr>
                        <w:sz w:val="18"/>
                      </w:rPr>
                      <w:fldChar w:fldCharType="separate"/>
                    </w:r>
                    <w:r w:rsidR="009B5F7A">
                      <w:rPr>
                        <w:rFonts w:hint="default"/>
                        <w:noProof/>
                        <w:sz w:val="18"/>
                      </w:rPr>
                      <w:t>- 1 -</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63" w:rsidRDefault="001D5F63">
      <w:pPr>
        <w:rPr>
          <w:rFonts w:hint="default"/>
        </w:rPr>
      </w:pPr>
      <w:r>
        <w:separator/>
      </w:r>
    </w:p>
  </w:footnote>
  <w:footnote w:type="continuationSeparator" w:id="0">
    <w:p w:rsidR="001D5F63" w:rsidRDefault="001D5F6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814A4"/>
    <w:rsid w:val="001D5F63"/>
    <w:rsid w:val="00432663"/>
    <w:rsid w:val="009B5F7A"/>
    <w:rsid w:val="16F9068B"/>
    <w:rsid w:val="6048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一级标题"/>
    <w:basedOn w:val="a"/>
    <w:qFormat/>
    <w:pPr>
      <w:snapToGrid w:val="0"/>
      <w:jc w:val="center"/>
      <w:outlineLvl w:val="0"/>
    </w:pPr>
    <w:rPr>
      <w:rFonts w:ascii="方正小标宋简体" w:eastAsia="方正小标宋简体" w:hAnsi="Times New Roman" w:cs="方正小标宋简体"/>
      <w:color w:val="000000"/>
      <w:sz w:val="44"/>
      <w:szCs w:val="44"/>
    </w:rPr>
  </w:style>
  <w:style w:type="character" w:customStyle="1" w:styleId="font91">
    <w:name w:val="font91"/>
    <w:basedOn w:val="a0"/>
    <w:rPr>
      <w:rFonts w:ascii="黑体" w:eastAsia="黑体" w:hAnsi="宋体" w:cs="黑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一级标题"/>
    <w:basedOn w:val="a"/>
    <w:qFormat/>
    <w:pPr>
      <w:snapToGrid w:val="0"/>
      <w:jc w:val="center"/>
      <w:outlineLvl w:val="0"/>
    </w:pPr>
    <w:rPr>
      <w:rFonts w:ascii="方正小标宋简体" w:eastAsia="方正小标宋简体" w:hAnsi="Times New Roman" w:cs="方正小标宋简体"/>
      <w:color w:val="000000"/>
      <w:sz w:val="44"/>
      <w:szCs w:val="44"/>
    </w:rPr>
  </w:style>
  <w:style w:type="character" w:customStyle="1" w:styleId="font91">
    <w:name w:val="font91"/>
    <w:basedOn w:val="a0"/>
    <w:rPr>
      <w:rFonts w:ascii="黑体" w:eastAsia="黑体" w:hAnsi="宋体" w:cs="黑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xingyue</dc:creator>
  <cp:lastModifiedBy>admin</cp:lastModifiedBy>
  <cp:revision>2</cp:revision>
  <dcterms:created xsi:type="dcterms:W3CDTF">2021-04-20T02:07:00Z</dcterms:created>
  <dcterms:modified xsi:type="dcterms:W3CDTF">2021-04-20T02:07:00Z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